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F2" w:rsidRPr="001C7A65" w:rsidRDefault="00987CF2" w:rsidP="00987CF2">
      <w:pPr>
        <w:pStyle w:val="Heading1"/>
        <w:rPr>
          <w:color w:val="000000" w:themeColor="text1"/>
        </w:rPr>
      </w:pPr>
      <w:r w:rsidRPr="001C7A65">
        <w:rPr>
          <w:color w:val="000000" w:themeColor="text1"/>
        </w:rPr>
        <w:t>CDGG Highlight Report –</w:t>
      </w:r>
      <w:r w:rsidR="008C4B93">
        <w:rPr>
          <w:color w:val="000000" w:themeColor="text1"/>
        </w:rPr>
        <w:t xml:space="preserve"> 2</w:t>
      </w:r>
      <w:r w:rsidR="008C4B93" w:rsidRPr="00877E83">
        <w:rPr>
          <w:color w:val="000000" w:themeColor="text1"/>
          <w:vertAlign w:val="superscript"/>
        </w:rPr>
        <w:t>nd</w:t>
      </w:r>
      <w:r w:rsidR="008C4B93">
        <w:rPr>
          <w:color w:val="000000" w:themeColor="text1"/>
        </w:rPr>
        <w:t xml:space="preserve"> </w:t>
      </w:r>
      <w:r w:rsidRPr="001C7A65">
        <w:rPr>
          <w:color w:val="000000" w:themeColor="text1"/>
        </w:rPr>
        <w:t xml:space="preserve"> </w:t>
      </w:r>
      <w:r w:rsidR="007619DA">
        <w:rPr>
          <w:color w:val="000000" w:themeColor="text1"/>
        </w:rPr>
        <w:t xml:space="preserve"> </w:t>
      </w:r>
      <w:r w:rsidRPr="001C7A65">
        <w:rPr>
          <w:color w:val="000000" w:themeColor="text1"/>
        </w:rPr>
        <w:t>Quarter</w:t>
      </w:r>
      <w:r w:rsidR="00954872">
        <w:rPr>
          <w:color w:val="000000" w:themeColor="text1"/>
        </w:rPr>
        <w:t>,</w:t>
      </w:r>
      <w:r w:rsidRPr="001C7A65">
        <w:rPr>
          <w:color w:val="000000" w:themeColor="text1"/>
        </w:rPr>
        <w:t xml:space="preserve"> 201</w:t>
      </w:r>
      <w:r w:rsidR="00384E94">
        <w:rPr>
          <w:color w:val="000000" w:themeColor="text1"/>
        </w:rPr>
        <w:t>4</w:t>
      </w:r>
    </w:p>
    <w:p w:rsidR="00A91305" w:rsidRDefault="00A91305" w:rsidP="00CC5141">
      <w:pPr>
        <w:pStyle w:val="Heading2"/>
        <w:tabs>
          <w:tab w:val="left" w:pos="5595"/>
        </w:tabs>
        <w:rPr>
          <w:color w:val="000000" w:themeColor="text1"/>
        </w:rPr>
      </w:pPr>
    </w:p>
    <w:p w:rsidR="00987CF2" w:rsidRDefault="00987CF2" w:rsidP="00987CF2">
      <w:pPr>
        <w:pStyle w:val="Heading2"/>
        <w:rPr>
          <w:color w:val="000000" w:themeColor="text1"/>
        </w:rPr>
      </w:pPr>
      <w:r w:rsidRPr="001C7A65">
        <w:rPr>
          <w:color w:val="000000" w:themeColor="text1"/>
        </w:rPr>
        <w:t>1</w:t>
      </w:r>
      <w:r w:rsidR="009F04F7" w:rsidRPr="001C7A65">
        <w:rPr>
          <w:color w:val="000000" w:themeColor="text1"/>
        </w:rPr>
        <w:t>.)</w:t>
      </w:r>
      <w:r w:rsidRPr="001C7A65">
        <w:rPr>
          <w:color w:val="000000" w:themeColor="text1"/>
        </w:rPr>
        <w:tab/>
        <w:t xml:space="preserve">Overall Project status   </w:t>
      </w:r>
      <w:r w:rsidRPr="001C7A65">
        <w:rPr>
          <w:noProof/>
          <w:color w:val="000000" w:themeColor="text1"/>
          <w:lang w:val="en-ZA" w:eastAsia="en-ZA"/>
        </w:rPr>
        <w:drawing>
          <wp:inline distT="0" distB="0" distL="0" distR="0" wp14:anchorId="61AF016C" wp14:editId="11D67330">
            <wp:extent cx="295275" cy="2857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A31F01" w:rsidRPr="00A31F01" w:rsidRDefault="00A31F01" w:rsidP="00A31F01"/>
    <w:p w:rsidR="00987CF2" w:rsidRPr="00D06FEF" w:rsidRDefault="00987CF2" w:rsidP="00D06FEF">
      <w:pPr>
        <w:rPr>
          <w:rFonts w:cs="Arial"/>
          <w:color w:val="000000" w:themeColor="text1"/>
          <w:szCs w:val="24"/>
        </w:rPr>
      </w:pPr>
      <w:r w:rsidRPr="001C7A65">
        <w:rPr>
          <w:color w:val="000000" w:themeColor="text1"/>
          <w:szCs w:val="24"/>
        </w:rPr>
        <w:t>Consolidation of Democracy and Good Governance in Lesotho (CDGG) is a four-year programme jointly funded by Irish Aid and the United Nations Development Programme (UNDP). It aims to deepen democracy and good governance through improved electoral processes, effective functioning of parliament and enhanced promotion of human rights. To achieve its primary goals and objectives, the CDGG has identified, albeit not limited to, the following key institutions as enabling partners: The Independent Electoral Commission (IEC), National Assembly, the Senate, Ministry of Justice, Human Rights and the Correctional Service</w:t>
      </w:r>
      <w:r w:rsidR="00D06FEF">
        <w:rPr>
          <w:color w:val="000000" w:themeColor="text1"/>
          <w:szCs w:val="24"/>
        </w:rPr>
        <w:t xml:space="preserve"> (now </w:t>
      </w:r>
      <w:r w:rsidR="00D06FEF" w:rsidRPr="00D44553">
        <w:rPr>
          <w:rFonts w:cs="Arial"/>
          <w:color w:val="000000" w:themeColor="text1"/>
          <w:szCs w:val="24"/>
        </w:rPr>
        <w:t>Ministry of Law, Constitutional Affairs and Human Rights</w:t>
      </w:r>
      <w:r w:rsidR="00D06FEF">
        <w:rPr>
          <w:rFonts w:cs="Arial"/>
          <w:color w:val="000000" w:themeColor="text1"/>
          <w:szCs w:val="24"/>
        </w:rPr>
        <w:t>)</w:t>
      </w:r>
      <w:r w:rsidR="00D06FEF" w:rsidRPr="00D44553">
        <w:rPr>
          <w:rFonts w:cs="Arial"/>
          <w:color w:val="000000" w:themeColor="text1"/>
          <w:szCs w:val="24"/>
        </w:rPr>
        <w:t xml:space="preserve"> </w:t>
      </w:r>
      <w:r w:rsidRPr="001C7A65">
        <w:rPr>
          <w:color w:val="000000" w:themeColor="text1"/>
          <w:szCs w:val="24"/>
        </w:rPr>
        <w:t>and the Office of the Ombudsman.</w:t>
      </w:r>
    </w:p>
    <w:p w:rsidR="00987CF2" w:rsidRDefault="00987CF2" w:rsidP="00987CF2">
      <w:pPr>
        <w:pStyle w:val="ListParagraph"/>
        <w:spacing w:line="276" w:lineRule="auto"/>
        <w:jc w:val="both"/>
        <w:rPr>
          <w:color w:val="000000" w:themeColor="text1"/>
          <w:szCs w:val="24"/>
        </w:rPr>
      </w:pPr>
    </w:p>
    <w:p w:rsidR="00CC5141" w:rsidRPr="001C7A65" w:rsidRDefault="00CC5141" w:rsidP="00987CF2">
      <w:pPr>
        <w:pStyle w:val="ListParagraph"/>
        <w:spacing w:line="276" w:lineRule="auto"/>
        <w:jc w:val="both"/>
        <w:rPr>
          <w:color w:val="000000" w:themeColor="text1"/>
          <w:szCs w:val="24"/>
        </w:rPr>
      </w:pPr>
    </w:p>
    <w:p w:rsidR="00987CF2" w:rsidRPr="001C7A65" w:rsidRDefault="004A3A7B" w:rsidP="00987CF2">
      <w:pPr>
        <w:pStyle w:val="BodyText2"/>
        <w:numPr>
          <w:ilvl w:val="0"/>
          <w:numId w:val="1"/>
        </w:numPr>
        <w:spacing w:line="276" w:lineRule="auto"/>
        <w:rPr>
          <w:b/>
          <w:color w:val="000000" w:themeColor="text1"/>
          <w:sz w:val="28"/>
          <w:szCs w:val="28"/>
        </w:rPr>
      </w:pPr>
      <w:r w:rsidRPr="001C7A65">
        <w:rPr>
          <w:b/>
          <w:color w:val="000000" w:themeColor="text1"/>
          <w:sz w:val="28"/>
          <w:szCs w:val="28"/>
        </w:rPr>
        <w:t>201</w:t>
      </w:r>
      <w:r w:rsidR="00877E83">
        <w:rPr>
          <w:b/>
          <w:color w:val="000000" w:themeColor="text1"/>
          <w:sz w:val="28"/>
          <w:szCs w:val="28"/>
        </w:rPr>
        <w:t>4</w:t>
      </w:r>
      <w:r w:rsidR="00987CF2" w:rsidRPr="001C7A65">
        <w:rPr>
          <w:b/>
          <w:color w:val="000000" w:themeColor="text1"/>
          <w:sz w:val="28"/>
          <w:szCs w:val="28"/>
        </w:rPr>
        <w:t xml:space="preserve"> Targets </w:t>
      </w:r>
    </w:p>
    <w:p w:rsidR="00987CF2" w:rsidRPr="001C7A65" w:rsidRDefault="00987CF2" w:rsidP="00987CF2">
      <w:pPr>
        <w:pStyle w:val="ListParagraph"/>
        <w:spacing w:line="276" w:lineRule="auto"/>
        <w:rPr>
          <w:rFonts w:cs="Arial"/>
          <w:color w:val="000000" w:themeColor="text1"/>
          <w:szCs w:val="24"/>
        </w:rPr>
      </w:pPr>
    </w:p>
    <w:p w:rsidR="00987CF2" w:rsidRPr="001C7A65" w:rsidRDefault="00987CF2" w:rsidP="00987CF2">
      <w:pPr>
        <w:pStyle w:val="ListParagraph"/>
        <w:numPr>
          <w:ilvl w:val="0"/>
          <w:numId w:val="2"/>
        </w:numPr>
        <w:spacing w:line="276" w:lineRule="auto"/>
        <w:jc w:val="both"/>
        <w:rPr>
          <w:color w:val="000000" w:themeColor="text1"/>
          <w:szCs w:val="24"/>
        </w:rPr>
      </w:pPr>
      <w:r w:rsidRPr="001C7A65">
        <w:rPr>
          <w:color w:val="000000" w:themeColor="text1"/>
          <w:szCs w:val="24"/>
        </w:rPr>
        <w:t>(1) Electoral reforms to ensure that elections add value to democratic governance and political stability.</w:t>
      </w:r>
    </w:p>
    <w:p w:rsidR="00987CF2" w:rsidRPr="001C7A65" w:rsidRDefault="00987CF2" w:rsidP="00987CF2">
      <w:pPr>
        <w:pStyle w:val="ListParagraph"/>
        <w:spacing w:line="276" w:lineRule="auto"/>
        <w:ind w:left="1080"/>
        <w:jc w:val="both"/>
        <w:rPr>
          <w:color w:val="000000" w:themeColor="text1"/>
          <w:szCs w:val="24"/>
        </w:rPr>
      </w:pPr>
    </w:p>
    <w:p w:rsidR="00987CF2" w:rsidRPr="001C7A65" w:rsidRDefault="00987CF2" w:rsidP="00987CF2">
      <w:pPr>
        <w:pStyle w:val="ListParagraph"/>
        <w:numPr>
          <w:ilvl w:val="0"/>
          <w:numId w:val="2"/>
        </w:numPr>
        <w:spacing w:line="276" w:lineRule="auto"/>
        <w:jc w:val="both"/>
        <w:rPr>
          <w:color w:val="000000" w:themeColor="text1"/>
          <w:szCs w:val="24"/>
        </w:rPr>
      </w:pPr>
      <w:r w:rsidRPr="001C7A65">
        <w:rPr>
          <w:color w:val="000000" w:themeColor="text1"/>
          <w:szCs w:val="24"/>
        </w:rPr>
        <w:t xml:space="preserve"> (2) Parliamentary reforms to improve the effectiveness of the legislature in its three-pronged mandate of law-making, representation and oversight.</w:t>
      </w:r>
    </w:p>
    <w:p w:rsidR="00987CF2" w:rsidRPr="001C7A65" w:rsidRDefault="00987CF2" w:rsidP="00987CF2">
      <w:pPr>
        <w:pStyle w:val="ListParagraph"/>
        <w:spacing w:line="276" w:lineRule="auto"/>
        <w:rPr>
          <w:color w:val="000000" w:themeColor="text1"/>
          <w:szCs w:val="24"/>
        </w:rPr>
      </w:pPr>
    </w:p>
    <w:p w:rsidR="00987CF2" w:rsidRPr="001C7A65" w:rsidRDefault="00987CF2" w:rsidP="00987CF2">
      <w:pPr>
        <w:pStyle w:val="ListParagraph"/>
        <w:numPr>
          <w:ilvl w:val="0"/>
          <w:numId w:val="2"/>
        </w:numPr>
        <w:spacing w:line="276" w:lineRule="auto"/>
        <w:jc w:val="both"/>
        <w:rPr>
          <w:rFonts w:cs="Arial"/>
          <w:color w:val="000000" w:themeColor="text1"/>
          <w:szCs w:val="24"/>
        </w:rPr>
      </w:pPr>
      <w:r w:rsidRPr="001C7A65">
        <w:rPr>
          <w:color w:val="000000" w:themeColor="text1"/>
          <w:szCs w:val="24"/>
        </w:rPr>
        <w:t xml:space="preserve"> (3) The promotion and protection of human rights in accordance with the principles of the Universal Declaration of Human Rights. </w:t>
      </w:r>
    </w:p>
    <w:p w:rsidR="00987CF2" w:rsidRDefault="00987CF2" w:rsidP="00987CF2">
      <w:pPr>
        <w:spacing w:line="276" w:lineRule="auto"/>
        <w:ind w:left="720"/>
        <w:jc w:val="both"/>
        <w:rPr>
          <w:rFonts w:cs="Arial"/>
          <w:color w:val="000000" w:themeColor="text1"/>
          <w:szCs w:val="24"/>
        </w:rPr>
      </w:pPr>
    </w:p>
    <w:p w:rsidR="00694F10" w:rsidRPr="001C7A65" w:rsidRDefault="00694F10" w:rsidP="00987CF2">
      <w:pPr>
        <w:spacing w:line="276" w:lineRule="auto"/>
        <w:ind w:left="720"/>
        <w:jc w:val="both"/>
        <w:rPr>
          <w:rFonts w:cs="Arial"/>
          <w:color w:val="000000" w:themeColor="text1"/>
          <w:szCs w:val="24"/>
        </w:rPr>
      </w:pPr>
    </w:p>
    <w:p w:rsidR="00987CF2" w:rsidRPr="001C7A65" w:rsidRDefault="00987CF2" w:rsidP="00987CF2">
      <w:pPr>
        <w:spacing w:line="276" w:lineRule="auto"/>
        <w:rPr>
          <w:rFonts w:cs="Arial"/>
          <w:color w:val="000000" w:themeColor="text1"/>
          <w:szCs w:val="24"/>
        </w:rPr>
      </w:pPr>
    </w:p>
    <w:p w:rsidR="001A36C3" w:rsidRDefault="00987CF2" w:rsidP="00987CF2">
      <w:pPr>
        <w:spacing w:line="276" w:lineRule="auto"/>
        <w:rPr>
          <w:rFonts w:cs="Arial"/>
          <w:b/>
          <w:color w:val="000000" w:themeColor="text1"/>
          <w:szCs w:val="24"/>
          <w:u w:val="single"/>
        </w:rPr>
      </w:pPr>
      <w:r w:rsidRPr="001C7A65">
        <w:rPr>
          <w:rFonts w:cs="Arial"/>
          <w:color w:val="000000" w:themeColor="text1"/>
          <w:szCs w:val="24"/>
        </w:rPr>
        <w:t xml:space="preserve"> </w:t>
      </w:r>
      <w:r w:rsidRPr="001C7A65">
        <w:rPr>
          <w:rFonts w:cs="Arial"/>
          <w:b/>
          <w:color w:val="000000" w:themeColor="text1"/>
          <w:szCs w:val="24"/>
          <w:u w:val="single"/>
        </w:rPr>
        <w:t>Programme Management</w:t>
      </w:r>
    </w:p>
    <w:p w:rsidR="009D6D4E" w:rsidRDefault="009D6D4E" w:rsidP="00987CF2">
      <w:pPr>
        <w:spacing w:line="276" w:lineRule="auto"/>
        <w:rPr>
          <w:rFonts w:cs="Arial"/>
          <w:b/>
          <w:color w:val="000000" w:themeColor="text1"/>
          <w:szCs w:val="24"/>
          <w:u w:val="single"/>
        </w:rPr>
      </w:pPr>
    </w:p>
    <w:p w:rsidR="008C4B93" w:rsidRDefault="008C4B93" w:rsidP="00987CF2">
      <w:pPr>
        <w:spacing w:line="276" w:lineRule="auto"/>
        <w:rPr>
          <w:rFonts w:cs="Arial"/>
          <w:color w:val="000000" w:themeColor="text1"/>
          <w:szCs w:val="24"/>
        </w:rPr>
      </w:pPr>
      <w:r>
        <w:rPr>
          <w:rFonts w:cs="Arial"/>
          <w:color w:val="000000" w:themeColor="text1"/>
          <w:szCs w:val="24"/>
        </w:rPr>
        <w:t>During a meeting of CDGG Implementing Partners on April 1</w:t>
      </w:r>
      <w:r w:rsidRPr="00877E83">
        <w:rPr>
          <w:rFonts w:cs="Arial"/>
          <w:color w:val="000000" w:themeColor="text1"/>
          <w:szCs w:val="24"/>
          <w:vertAlign w:val="superscript"/>
        </w:rPr>
        <w:t>st</w:t>
      </w:r>
      <w:r>
        <w:rPr>
          <w:rFonts w:cs="Arial"/>
          <w:color w:val="000000" w:themeColor="text1"/>
          <w:szCs w:val="24"/>
        </w:rPr>
        <w:t xml:space="preserve"> 2014, at the UN House, it was agreed that all outstanding activities were supposed to be completed by May 30</w:t>
      </w:r>
      <w:r w:rsidRPr="00877E83">
        <w:rPr>
          <w:rFonts w:cs="Arial"/>
          <w:color w:val="000000" w:themeColor="text1"/>
          <w:szCs w:val="24"/>
          <w:vertAlign w:val="superscript"/>
        </w:rPr>
        <w:t>th</w:t>
      </w:r>
      <w:r>
        <w:rPr>
          <w:rFonts w:cs="Arial"/>
          <w:color w:val="000000" w:themeColor="text1"/>
          <w:szCs w:val="24"/>
        </w:rPr>
        <w:t>, however, due to circumstances beyond our control, it was not practical to complete all activities as two activities were still underway by the time we reached the deadline. At the same meeting IPs were also requested to submit end-of-project reports by June 30</w:t>
      </w:r>
      <w:r w:rsidRPr="00877E83">
        <w:rPr>
          <w:rFonts w:cs="Arial"/>
          <w:color w:val="000000" w:themeColor="text1"/>
          <w:szCs w:val="24"/>
          <w:vertAlign w:val="superscript"/>
        </w:rPr>
        <w:t>th</w:t>
      </w:r>
      <w:r>
        <w:rPr>
          <w:rFonts w:cs="Arial"/>
          <w:color w:val="000000" w:themeColor="text1"/>
          <w:szCs w:val="24"/>
        </w:rPr>
        <w:t>. So far, only the Ministry of Law, Constitu</w:t>
      </w:r>
      <w:r w:rsidR="00954872">
        <w:rPr>
          <w:rFonts w:cs="Arial"/>
          <w:color w:val="000000" w:themeColor="text1"/>
          <w:szCs w:val="24"/>
        </w:rPr>
        <w:t xml:space="preserve">tional Affairs and Human Rights; </w:t>
      </w:r>
      <w:r w:rsidR="00876E57">
        <w:rPr>
          <w:rFonts w:cs="Arial"/>
          <w:color w:val="000000" w:themeColor="text1"/>
          <w:szCs w:val="24"/>
        </w:rPr>
        <w:t xml:space="preserve">Office of the Ombudsman; </w:t>
      </w:r>
      <w:r w:rsidR="00954872">
        <w:rPr>
          <w:rFonts w:cs="Arial"/>
          <w:color w:val="000000" w:themeColor="text1"/>
          <w:szCs w:val="24"/>
        </w:rPr>
        <w:t xml:space="preserve">the Senate and National Assembly have submitted reports at the time of writing this report. </w:t>
      </w:r>
      <w:r w:rsidR="00876E57">
        <w:rPr>
          <w:rFonts w:cs="Arial"/>
          <w:color w:val="000000" w:themeColor="text1"/>
          <w:szCs w:val="24"/>
        </w:rPr>
        <w:t xml:space="preserve">The IEC had not submitted the report. </w:t>
      </w:r>
    </w:p>
    <w:p w:rsidR="00954872" w:rsidRDefault="00954872" w:rsidP="00987CF2">
      <w:pPr>
        <w:spacing w:line="276" w:lineRule="auto"/>
        <w:rPr>
          <w:rFonts w:cs="Arial"/>
          <w:color w:val="000000" w:themeColor="text1"/>
          <w:szCs w:val="24"/>
        </w:rPr>
      </w:pPr>
    </w:p>
    <w:p w:rsidR="00954872" w:rsidRDefault="00954872" w:rsidP="00987CF2">
      <w:pPr>
        <w:spacing w:line="276" w:lineRule="auto"/>
        <w:rPr>
          <w:rFonts w:cs="Arial"/>
          <w:color w:val="000000" w:themeColor="text1"/>
          <w:szCs w:val="24"/>
        </w:rPr>
      </w:pPr>
    </w:p>
    <w:p w:rsidR="00877E83" w:rsidRDefault="00954872" w:rsidP="00987CF2">
      <w:pPr>
        <w:spacing w:line="276" w:lineRule="auto"/>
        <w:rPr>
          <w:rFonts w:cs="Arial"/>
          <w:color w:val="000000" w:themeColor="text1"/>
          <w:szCs w:val="24"/>
        </w:rPr>
      </w:pPr>
      <w:r>
        <w:rPr>
          <w:rFonts w:cs="Arial"/>
          <w:color w:val="000000" w:themeColor="text1"/>
          <w:szCs w:val="24"/>
        </w:rPr>
        <w:t xml:space="preserve">The consultant who will undertake the end-of-project evaluation has been identified and preparations for her to sign the contract are at an advanced stage. </w:t>
      </w:r>
    </w:p>
    <w:p w:rsidR="00877E83" w:rsidRDefault="00877E83" w:rsidP="00987CF2">
      <w:pPr>
        <w:spacing w:line="276" w:lineRule="auto"/>
        <w:rPr>
          <w:rFonts w:cs="Arial"/>
          <w:color w:val="000000" w:themeColor="text1"/>
          <w:szCs w:val="24"/>
        </w:rPr>
      </w:pPr>
    </w:p>
    <w:p w:rsidR="00877E83" w:rsidRDefault="00954872" w:rsidP="00987CF2">
      <w:pPr>
        <w:spacing w:line="276" w:lineRule="auto"/>
        <w:rPr>
          <w:rFonts w:cs="Arial"/>
          <w:color w:val="000000" w:themeColor="text1"/>
          <w:szCs w:val="24"/>
        </w:rPr>
      </w:pPr>
      <w:r>
        <w:rPr>
          <w:rFonts w:cs="Arial"/>
          <w:color w:val="000000" w:themeColor="text1"/>
          <w:szCs w:val="24"/>
        </w:rPr>
        <w:t>It is anticipated that</w:t>
      </w:r>
      <w:r w:rsidR="00877E83">
        <w:rPr>
          <w:rFonts w:cs="Arial"/>
          <w:color w:val="000000" w:themeColor="text1"/>
          <w:szCs w:val="24"/>
        </w:rPr>
        <w:t xml:space="preserve"> </w:t>
      </w:r>
      <w:r>
        <w:rPr>
          <w:rFonts w:cs="Arial"/>
          <w:color w:val="000000" w:themeColor="text1"/>
          <w:szCs w:val="24"/>
        </w:rPr>
        <w:t xml:space="preserve">the consultant will commence her assignment the week of </w:t>
      </w:r>
      <w:r w:rsidR="00877E83">
        <w:rPr>
          <w:rFonts w:cs="Arial"/>
          <w:color w:val="000000" w:themeColor="text1"/>
          <w:szCs w:val="24"/>
        </w:rPr>
        <w:t xml:space="preserve">         </w:t>
      </w:r>
    </w:p>
    <w:p w:rsidR="00877E83" w:rsidRDefault="00877E83" w:rsidP="00987CF2">
      <w:pPr>
        <w:spacing w:line="276" w:lineRule="auto"/>
        <w:rPr>
          <w:rFonts w:cs="Arial"/>
          <w:color w:val="000000" w:themeColor="text1"/>
          <w:szCs w:val="24"/>
        </w:rPr>
      </w:pPr>
    </w:p>
    <w:p w:rsidR="00954872" w:rsidRPr="00877E83" w:rsidRDefault="00877E83" w:rsidP="00987CF2">
      <w:pPr>
        <w:spacing w:line="276" w:lineRule="auto"/>
        <w:rPr>
          <w:rFonts w:cs="Arial"/>
          <w:color w:val="000000" w:themeColor="text1"/>
          <w:szCs w:val="24"/>
        </w:rPr>
      </w:pPr>
      <w:r>
        <w:rPr>
          <w:rFonts w:cs="Arial"/>
          <w:color w:val="000000" w:themeColor="text1"/>
          <w:szCs w:val="24"/>
        </w:rPr>
        <w:t xml:space="preserve">It is anticipated that the consultant will commence her assignment the week of </w:t>
      </w:r>
      <w:r w:rsidR="00954872">
        <w:rPr>
          <w:rFonts w:cs="Arial"/>
          <w:color w:val="000000" w:themeColor="text1"/>
          <w:szCs w:val="24"/>
        </w:rPr>
        <w:t>J</w:t>
      </w:r>
      <w:r>
        <w:rPr>
          <w:rFonts w:cs="Arial"/>
          <w:color w:val="000000" w:themeColor="text1"/>
          <w:szCs w:val="24"/>
        </w:rPr>
        <w:t>uly</w:t>
      </w:r>
      <w:r w:rsidR="00954872">
        <w:rPr>
          <w:rFonts w:cs="Arial"/>
          <w:color w:val="000000" w:themeColor="text1"/>
          <w:szCs w:val="24"/>
        </w:rPr>
        <w:t>21</w:t>
      </w:r>
      <w:r w:rsidR="00954872" w:rsidRPr="00877E83">
        <w:rPr>
          <w:rFonts w:cs="Arial"/>
          <w:color w:val="000000" w:themeColor="text1"/>
          <w:szCs w:val="24"/>
          <w:vertAlign w:val="superscript"/>
        </w:rPr>
        <w:t>st</w:t>
      </w:r>
      <w:r w:rsidR="00954872">
        <w:rPr>
          <w:rFonts w:cs="Arial"/>
          <w:color w:val="000000" w:themeColor="text1"/>
          <w:szCs w:val="24"/>
        </w:rPr>
        <w:t xml:space="preserve"> and complete the week of August 25</w:t>
      </w:r>
      <w:r w:rsidR="00954872" w:rsidRPr="00877E83">
        <w:rPr>
          <w:rFonts w:cs="Arial"/>
          <w:color w:val="000000" w:themeColor="text1"/>
          <w:szCs w:val="24"/>
          <w:vertAlign w:val="superscript"/>
        </w:rPr>
        <w:t>th</w:t>
      </w:r>
      <w:r w:rsidR="00954872">
        <w:rPr>
          <w:rFonts w:cs="Arial"/>
          <w:color w:val="000000" w:themeColor="text1"/>
          <w:szCs w:val="24"/>
        </w:rPr>
        <w:t xml:space="preserve">. Thereafter, the Project Manager will focus on ensuring that all outstanding payments are processed and begin to start the process of transferring assets to CDGG IPs which will be followed by operational and financial closure of the project. </w:t>
      </w:r>
    </w:p>
    <w:p w:rsidR="007D3EFD" w:rsidRPr="007619DA" w:rsidRDefault="009D6D4E" w:rsidP="0085493E">
      <w:pPr>
        <w:framePr w:hSpace="180" w:wrap="around" w:vAnchor="text" w:hAnchor="page" w:x="1531" w:y="-1002"/>
        <w:overflowPunct/>
        <w:autoSpaceDE/>
        <w:autoSpaceDN/>
        <w:adjustRightInd/>
        <w:suppressOverlap/>
        <w:textAlignment w:val="auto"/>
        <w:rPr>
          <w:color w:val="000000" w:themeColor="text1"/>
        </w:rPr>
      </w:pPr>
      <w:r w:rsidRPr="007619DA">
        <w:rPr>
          <w:color w:val="000000" w:themeColor="text1"/>
        </w:rPr>
        <w:t>2014.</w:t>
      </w:r>
    </w:p>
    <w:p w:rsidR="00987CF2" w:rsidRDefault="00987CF2" w:rsidP="00987CF2">
      <w:pPr>
        <w:rPr>
          <w:rFonts w:cs="Arial"/>
          <w:b/>
          <w:color w:val="000000" w:themeColor="text1"/>
          <w:szCs w:val="24"/>
          <w:u w:val="single"/>
        </w:rPr>
      </w:pPr>
    </w:p>
    <w:p w:rsidR="00F42D38" w:rsidRDefault="00F42D38" w:rsidP="00987CF2">
      <w:pPr>
        <w:rPr>
          <w:rFonts w:cs="Arial"/>
          <w:b/>
          <w:color w:val="000000" w:themeColor="text1"/>
          <w:szCs w:val="24"/>
          <w:u w:val="single"/>
        </w:rPr>
      </w:pPr>
    </w:p>
    <w:p w:rsidR="00987CF2" w:rsidRDefault="009F04F7" w:rsidP="00987CF2">
      <w:pPr>
        <w:pStyle w:val="BodyText2"/>
        <w:rPr>
          <w:rFonts w:cs="Arial"/>
          <w:b/>
          <w:color w:val="000000" w:themeColor="text1"/>
          <w:sz w:val="28"/>
          <w:szCs w:val="28"/>
        </w:rPr>
      </w:pPr>
      <w:r w:rsidRPr="001C7A65">
        <w:rPr>
          <w:rFonts w:cs="Arial"/>
          <w:b/>
          <w:color w:val="000000" w:themeColor="text1"/>
          <w:sz w:val="28"/>
          <w:szCs w:val="28"/>
        </w:rPr>
        <w:t xml:space="preserve">2.) </w:t>
      </w:r>
      <w:r w:rsidR="00987CF2" w:rsidRPr="001C7A65">
        <w:rPr>
          <w:rFonts w:cs="Arial"/>
          <w:b/>
          <w:color w:val="000000" w:themeColor="text1"/>
          <w:sz w:val="28"/>
          <w:szCs w:val="28"/>
        </w:rPr>
        <w:t xml:space="preserve">Quarter </w:t>
      </w:r>
      <w:r w:rsidR="00954872">
        <w:rPr>
          <w:rFonts w:cs="Arial"/>
          <w:b/>
          <w:color w:val="000000" w:themeColor="text1"/>
          <w:sz w:val="28"/>
          <w:szCs w:val="28"/>
        </w:rPr>
        <w:t xml:space="preserve">2nd </w:t>
      </w:r>
      <w:r w:rsidR="009D6D4E">
        <w:rPr>
          <w:rFonts w:cs="Arial"/>
          <w:b/>
          <w:color w:val="000000" w:themeColor="text1"/>
          <w:sz w:val="28"/>
          <w:szCs w:val="28"/>
        </w:rPr>
        <w:t>reports</w:t>
      </w:r>
    </w:p>
    <w:p w:rsidR="007D2C21" w:rsidRDefault="007D2C21" w:rsidP="00987CF2">
      <w:pPr>
        <w:rPr>
          <w:rFonts w:cs="Arial"/>
          <w:b/>
          <w:color w:val="000000" w:themeColor="text1"/>
          <w:szCs w:val="24"/>
          <w:u w:val="single"/>
        </w:rPr>
      </w:pPr>
    </w:p>
    <w:p w:rsidR="00987CF2" w:rsidRPr="001C7A65" w:rsidRDefault="00987CF2" w:rsidP="00987CF2">
      <w:pPr>
        <w:rPr>
          <w:rFonts w:cs="Arial"/>
          <w:b/>
          <w:color w:val="000000" w:themeColor="text1"/>
          <w:szCs w:val="24"/>
          <w:u w:val="single"/>
        </w:rPr>
      </w:pPr>
      <w:r w:rsidRPr="001C7A65">
        <w:rPr>
          <w:rFonts w:cs="Arial"/>
          <w:b/>
          <w:color w:val="000000" w:themeColor="text1"/>
          <w:szCs w:val="24"/>
          <w:u w:val="single"/>
        </w:rPr>
        <w:t>Ombudsman’s office</w:t>
      </w:r>
    </w:p>
    <w:p w:rsidR="00987CF2" w:rsidRDefault="00987CF2" w:rsidP="00987CF2">
      <w:pPr>
        <w:rPr>
          <w:rFonts w:cs="Arial"/>
          <w:b/>
          <w:color w:val="000000" w:themeColor="text1"/>
          <w:szCs w:val="24"/>
          <w:u w:val="single"/>
        </w:rPr>
      </w:pPr>
    </w:p>
    <w:p w:rsidR="003F4A84" w:rsidRPr="0081449F" w:rsidRDefault="00437683" w:rsidP="0081449F">
      <w:pPr>
        <w:pStyle w:val="ListParagraph"/>
        <w:numPr>
          <w:ilvl w:val="0"/>
          <w:numId w:val="24"/>
        </w:numPr>
        <w:rPr>
          <w:szCs w:val="24"/>
        </w:rPr>
      </w:pPr>
      <w:r>
        <w:rPr>
          <w:szCs w:val="24"/>
        </w:rPr>
        <w:t>Engaged a</w:t>
      </w:r>
      <w:r w:rsidR="00EF1F2A" w:rsidRPr="0081449F">
        <w:rPr>
          <w:szCs w:val="24"/>
        </w:rPr>
        <w:t xml:space="preserve"> consultant </w:t>
      </w:r>
      <w:r>
        <w:rPr>
          <w:szCs w:val="24"/>
        </w:rPr>
        <w:t xml:space="preserve">to </w:t>
      </w:r>
      <w:r w:rsidR="00EF1F2A" w:rsidRPr="0081449F">
        <w:rPr>
          <w:szCs w:val="24"/>
        </w:rPr>
        <w:t xml:space="preserve">develop </w:t>
      </w:r>
      <w:r>
        <w:rPr>
          <w:szCs w:val="24"/>
        </w:rPr>
        <w:t>a</w:t>
      </w:r>
      <w:r w:rsidR="00EF1F2A" w:rsidRPr="0081449F">
        <w:rPr>
          <w:szCs w:val="24"/>
        </w:rPr>
        <w:t xml:space="preserve"> Monitoring and Evaluation system for the office</w:t>
      </w:r>
      <w:r>
        <w:rPr>
          <w:szCs w:val="24"/>
        </w:rPr>
        <w:t xml:space="preserve"> of the Ombudsman. The consultant commenced her assignment on May 21</w:t>
      </w:r>
      <w:r w:rsidRPr="00877E83">
        <w:rPr>
          <w:szCs w:val="24"/>
          <w:vertAlign w:val="superscript"/>
        </w:rPr>
        <w:t>st</w:t>
      </w:r>
      <w:r>
        <w:rPr>
          <w:szCs w:val="24"/>
        </w:rPr>
        <w:t>, 2014 and the final</w:t>
      </w:r>
      <w:r w:rsidR="00876E57">
        <w:rPr>
          <w:szCs w:val="24"/>
        </w:rPr>
        <w:t xml:space="preserve"> documents</w:t>
      </w:r>
      <w:r>
        <w:rPr>
          <w:szCs w:val="24"/>
        </w:rPr>
        <w:t xml:space="preserve"> </w:t>
      </w:r>
      <w:r w:rsidR="00876E57">
        <w:rPr>
          <w:szCs w:val="24"/>
        </w:rPr>
        <w:t>are expected by July 21</w:t>
      </w:r>
      <w:r w:rsidR="00876E57" w:rsidRPr="00877E83">
        <w:rPr>
          <w:szCs w:val="24"/>
          <w:vertAlign w:val="superscript"/>
        </w:rPr>
        <w:t>st</w:t>
      </w:r>
      <w:r w:rsidR="00876E57">
        <w:rPr>
          <w:szCs w:val="24"/>
        </w:rPr>
        <w:t xml:space="preserve">. </w:t>
      </w:r>
      <w:r w:rsidR="00A716D2">
        <w:rPr>
          <w:szCs w:val="24"/>
        </w:rPr>
        <w:t xml:space="preserve">The purpose of developing an M &amp; E system is to improve organizational performance and also to enhance personal growth and development of the human capital of the office. </w:t>
      </w:r>
    </w:p>
    <w:p w:rsidR="0085493E" w:rsidRDefault="0085493E" w:rsidP="00F713CB">
      <w:pPr>
        <w:rPr>
          <w:szCs w:val="24"/>
        </w:rPr>
      </w:pPr>
    </w:p>
    <w:p w:rsidR="00EF1F2A" w:rsidRDefault="00EF1F2A" w:rsidP="00F713CB">
      <w:pPr>
        <w:rPr>
          <w:b/>
          <w:bCs/>
          <w:color w:val="000000" w:themeColor="text1"/>
          <w:u w:val="single"/>
        </w:rPr>
      </w:pPr>
    </w:p>
    <w:p w:rsidR="00D87304" w:rsidRDefault="00F713CB" w:rsidP="00877E83">
      <w:pPr>
        <w:rPr>
          <w:rFonts w:cs="Arial"/>
          <w:noProof/>
          <w:color w:val="000000" w:themeColor="text1"/>
          <w:sz w:val="20"/>
          <w:lang w:val="en-US"/>
        </w:rPr>
      </w:pPr>
      <w:r w:rsidRPr="001C7A65">
        <w:rPr>
          <w:b/>
          <w:bCs/>
          <w:color w:val="000000" w:themeColor="text1"/>
          <w:u w:val="single"/>
        </w:rPr>
        <w:t>Independent Electoral Commission (IEC)</w:t>
      </w:r>
      <w:r w:rsidR="007335B6" w:rsidRPr="007335B6">
        <w:rPr>
          <w:rFonts w:cs="Arial"/>
          <w:noProof/>
          <w:color w:val="000000" w:themeColor="text1"/>
          <w:sz w:val="20"/>
          <w:lang w:val="en-US"/>
        </w:rPr>
        <w:t xml:space="preserve"> </w:t>
      </w:r>
    </w:p>
    <w:p w:rsidR="00D87304" w:rsidRDefault="00D87304" w:rsidP="00877E83">
      <w:pPr>
        <w:rPr>
          <w:rFonts w:cs="Arial"/>
          <w:noProof/>
          <w:color w:val="000000" w:themeColor="text1"/>
          <w:sz w:val="20"/>
          <w:lang w:val="en-US"/>
        </w:rPr>
      </w:pPr>
    </w:p>
    <w:p w:rsidR="00D87304" w:rsidRDefault="00D87304" w:rsidP="00877E83">
      <w:pPr>
        <w:rPr>
          <w:rFonts w:cs="Arial"/>
          <w:noProof/>
          <w:color w:val="000000" w:themeColor="text1"/>
          <w:sz w:val="20"/>
          <w:lang w:val="en-US"/>
        </w:rPr>
      </w:pPr>
    </w:p>
    <w:p w:rsidR="00D87304" w:rsidRPr="00877E83" w:rsidRDefault="00D87304" w:rsidP="00877E83">
      <w:pPr>
        <w:pStyle w:val="ListParagraph"/>
        <w:numPr>
          <w:ilvl w:val="0"/>
          <w:numId w:val="30"/>
        </w:numPr>
        <w:rPr>
          <w:rFonts w:cs="Arial"/>
          <w:noProof/>
          <w:color w:val="000000" w:themeColor="text1"/>
          <w:sz w:val="20"/>
          <w:lang w:val="en-US"/>
        </w:rPr>
      </w:pPr>
      <w:r>
        <w:rPr>
          <w:rFonts w:eastAsia="BatangChe" w:cs="Arial"/>
          <w:szCs w:val="24"/>
        </w:rPr>
        <w:t xml:space="preserve">Commissioner Mamosebi Pholo and Ms. Lydia Macheli attended a five-day workshop organized by </w:t>
      </w:r>
      <w:r w:rsidRPr="00D87304">
        <w:rPr>
          <w:rFonts w:eastAsia="BatangChe" w:cs="Arial"/>
          <w:szCs w:val="24"/>
        </w:rPr>
        <w:t>EC-UNDP Joint Task Force on Electoral Assistance</w:t>
      </w:r>
      <w:r>
        <w:rPr>
          <w:rFonts w:eastAsia="BatangChe" w:cs="Arial"/>
          <w:szCs w:val="24"/>
        </w:rPr>
        <w:t xml:space="preserve"> in</w:t>
      </w:r>
      <w:r w:rsidRPr="00D87304">
        <w:rPr>
          <w:rFonts w:eastAsia="BatangChe" w:cs="Arial"/>
          <w:szCs w:val="24"/>
        </w:rPr>
        <w:t xml:space="preserve"> Jordan</w:t>
      </w:r>
      <w:r>
        <w:rPr>
          <w:rFonts w:eastAsia="BatangChe" w:cs="Arial"/>
          <w:szCs w:val="24"/>
        </w:rPr>
        <w:t xml:space="preserve"> from April 7</w:t>
      </w:r>
      <w:r w:rsidRPr="00877E83">
        <w:rPr>
          <w:rFonts w:eastAsia="BatangChe" w:cs="Arial"/>
          <w:szCs w:val="24"/>
          <w:vertAlign w:val="superscript"/>
        </w:rPr>
        <w:t>th</w:t>
      </w:r>
      <w:r>
        <w:rPr>
          <w:rFonts w:eastAsia="BatangChe" w:cs="Arial"/>
          <w:szCs w:val="24"/>
        </w:rPr>
        <w:t xml:space="preserve"> to 11</w:t>
      </w:r>
      <w:r w:rsidRPr="00877E83">
        <w:rPr>
          <w:rFonts w:eastAsia="BatangChe" w:cs="Arial"/>
          <w:szCs w:val="24"/>
          <w:vertAlign w:val="superscript"/>
        </w:rPr>
        <w:t>th</w:t>
      </w:r>
      <w:r>
        <w:rPr>
          <w:rFonts w:eastAsia="BatangChe" w:cs="Arial"/>
          <w:szCs w:val="24"/>
        </w:rPr>
        <w:t xml:space="preserve">, 2014. The </w:t>
      </w:r>
      <w:r w:rsidRPr="00D87304">
        <w:rPr>
          <w:rFonts w:eastAsia="BatangChe" w:cs="Arial"/>
          <w:szCs w:val="24"/>
        </w:rPr>
        <w:t xml:space="preserve">workshop </w:t>
      </w:r>
      <w:r>
        <w:rPr>
          <w:rFonts w:eastAsia="BatangChe" w:cs="Arial"/>
          <w:szCs w:val="24"/>
        </w:rPr>
        <w:t xml:space="preserve">focused </w:t>
      </w:r>
      <w:r w:rsidRPr="00D87304">
        <w:rPr>
          <w:rFonts w:eastAsia="BatangChe" w:cs="Arial"/>
          <w:szCs w:val="24"/>
        </w:rPr>
        <w:t xml:space="preserve">on REINFORCING CREDIBILITY AND ACCEPTANCE OF ELECTORAL PROCESSES: Role of Electoral Stakeholders and Electoral Administration.   </w:t>
      </w:r>
    </w:p>
    <w:p w:rsidR="00D87304" w:rsidRPr="00877E83" w:rsidRDefault="00D87304" w:rsidP="00877E83">
      <w:pPr>
        <w:pStyle w:val="NoSpacing"/>
        <w:rPr>
          <w:rFonts w:ascii="Arial" w:hAnsi="Arial" w:cs="Arial"/>
          <w:sz w:val="24"/>
          <w:szCs w:val="24"/>
        </w:rPr>
      </w:pPr>
    </w:p>
    <w:p w:rsidR="00D87304" w:rsidRPr="00877E83" w:rsidRDefault="00D87304" w:rsidP="00877E83">
      <w:pPr>
        <w:pStyle w:val="NoSpacing"/>
        <w:ind w:left="720"/>
        <w:rPr>
          <w:rFonts w:ascii="Arial" w:hAnsi="Arial" w:cs="Arial"/>
          <w:b/>
          <w:bCs/>
          <w:color w:val="000000" w:themeColor="text1"/>
          <w:sz w:val="24"/>
          <w:szCs w:val="24"/>
          <w:u w:val="single"/>
        </w:rPr>
      </w:pPr>
      <w:r w:rsidRPr="00877E83">
        <w:rPr>
          <w:rFonts w:ascii="Arial" w:hAnsi="Arial" w:cs="Arial"/>
          <w:sz w:val="24"/>
          <w:szCs w:val="24"/>
        </w:rPr>
        <w:t xml:space="preserve">The workshop </w:t>
      </w:r>
      <w:r>
        <w:rPr>
          <w:rFonts w:ascii="Arial" w:hAnsi="Arial" w:cs="Arial"/>
          <w:sz w:val="24"/>
          <w:szCs w:val="24"/>
        </w:rPr>
        <w:t>b</w:t>
      </w:r>
      <w:r w:rsidRPr="00877E83">
        <w:rPr>
          <w:rFonts w:ascii="Arial" w:hAnsi="Arial" w:cs="Arial"/>
          <w:sz w:val="24"/>
          <w:szCs w:val="24"/>
        </w:rPr>
        <w:t>rought together participants from 45 countries covering Africa, Europe, the Americas, Middle East and Asia Pacific.   The topics covered were Definition of Electoral Concepts, Impact of other State Institutions in the Credibility of Elections, Political Parties and Candidates, Media, Civil Society and Electoral Observers, Stakeholders at Work: Sharing Lessons Learned, Regional Perspective of Challenges and Opportunities of Regional Cooperation and Improving the Work between EMBs and Stakeholders</w:t>
      </w:r>
      <w:r>
        <w:rPr>
          <w:rFonts w:ascii="Arial" w:hAnsi="Arial" w:cs="Arial"/>
          <w:sz w:val="24"/>
          <w:szCs w:val="24"/>
        </w:rPr>
        <w:t>. Report available.</w:t>
      </w:r>
    </w:p>
    <w:p w:rsidR="00F713CB" w:rsidRPr="00877E83" w:rsidRDefault="00F713CB" w:rsidP="00877E83">
      <w:pPr>
        <w:pStyle w:val="NoSpacing"/>
        <w:rPr>
          <w:rFonts w:ascii="Arial" w:hAnsi="Arial" w:cs="Arial"/>
          <w:b/>
          <w:bCs/>
          <w:color w:val="000000" w:themeColor="text1"/>
          <w:sz w:val="24"/>
          <w:szCs w:val="24"/>
          <w:u w:val="single"/>
        </w:rPr>
      </w:pPr>
    </w:p>
    <w:p w:rsidR="00A716D2" w:rsidRDefault="00876E57" w:rsidP="00877E83">
      <w:pPr>
        <w:pStyle w:val="CM3"/>
        <w:numPr>
          <w:ilvl w:val="0"/>
          <w:numId w:val="30"/>
        </w:numPr>
        <w:jc w:val="both"/>
        <w:rPr>
          <w:color w:val="000000"/>
        </w:rPr>
      </w:pPr>
      <w:r w:rsidRPr="008E1372">
        <w:rPr>
          <w:color w:val="000000" w:themeColor="text1"/>
        </w:rPr>
        <w:t>Commissioner Dr. Makase Nyaphisi</w:t>
      </w:r>
      <w:r w:rsidR="00A716D2" w:rsidRPr="008E1372">
        <w:rPr>
          <w:color w:val="000000" w:themeColor="text1"/>
        </w:rPr>
        <w:t xml:space="preserve"> and Mr. Lebohang Bulane </w:t>
      </w:r>
      <w:r w:rsidRPr="008E1372">
        <w:rPr>
          <w:color w:val="000000" w:themeColor="text1"/>
        </w:rPr>
        <w:t>undertook a study tour to</w:t>
      </w:r>
      <w:r w:rsidR="00A716D2" w:rsidRPr="008E1372">
        <w:rPr>
          <w:color w:val="000000" w:themeColor="text1"/>
        </w:rPr>
        <w:t xml:space="preserve"> </w:t>
      </w:r>
      <w:r w:rsidR="00877E83" w:rsidRPr="008E1372">
        <w:rPr>
          <w:color w:val="000000" w:themeColor="text1"/>
        </w:rPr>
        <w:t>India</w:t>
      </w:r>
      <w:r w:rsidR="00A716D2" w:rsidRPr="008E1372">
        <w:rPr>
          <w:color w:val="000000" w:themeColor="text1"/>
        </w:rPr>
        <w:t xml:space="preserve"> from 21</w:t>
      </w:r>
      <w:r w:rsidR="00A716D2" w:rsidRPr="008E1372">
        <w:rPr>
          <w:color w:val="000000" w:themeColor="text1"/>
          <w:vertAlign w:val="superscript"/>
        </w:rPr>
        <w:t>st</w:t>
      </w:r>
      <w:r w:rsidR="00A716D2" w:rsidRPr="008E1372">
        <w:rPr>
          <w:color w:val="000000" w:themeColor="text1"/>
        </w:rPr>
        <w:t xml:space="preserve"> to 25</w:t>
      </w:r>
      <w:r w:rsidR="00A716D2" w:rsidRPr="008E1372">
        <w:rPr>
          <w:color w:val="000000" w:themeColor="text1"/>
          <w:vertAlign w:val="superscript"/>
        </w:rPr>
        <w:t>th</w:t>
      </w:r>
      <w:r w:rsidR="00A716D2" w:rsidRPr="008E1372">
        <w:rPr>
          <w:color w:val="000000" w:themeColor="text1"/>
        </w:rPr>
        <w:t xml:space="preserve"> April, 2014. The study was organized by the Electoral Commission of India (ECI) and it coincided with</w:t>
      </w:r>
      <w:r w:rsidR="00A716D2">
        <w:rPr>
          <w:color w:val="000000" w:themeColor="text1"/>
          <w:u w:val="single"/>
        </w:rPr>
        <w:t xml:space="preserve"> </w:t>
      </w:r>
      <w:r w:rsidR="00A716D2" w:rsidRPr="00877E83">
        <w:rPr>
          <w:color w:val="000000"/>
        </w:rPr>
        <w:t xml:space="preserve">the </w:t>
      </w:r>
      <w:r w:rsidR="00A716D2" w:rsidRPr="00877E83">
        <w:t>24</w:t>
      </w:r>
      <w:r w:rsidR="00A716D2" w:rsidRPr="00877E83">
        <w:rPr>
          <w:vertAlign w:val="superscript"/>
        </w:rPr>
        <w:t>th</w:t>
      </w:r>
      <w:r w:rsidR="00A716D2" w:rsidRPr="00877E83">
        <w:t xml:space="preserve"> April 2014 National and Local Government elections and </w:t>
      </w:r>
      <w:r w:rsidR="00A716D2" w:rsidRPr="00877E83">
        <w:rPr>
          <w:color w:val="000000"/>
        </w:rPr>
        <w:t xml:space="preserve">had the primary objectives of understanding facets of Indian democracy, the election process, decentralized and participatory developmental initiatives taken at the local government level in India. </w:t>
      </w:r>
    </w:p>
    <w:p w:rsidR="00877E83" w:rsidRDefault="00877E83" w:rsidP="00877E83">
      <w:pPr>
        <w:rPr>
          <w:lang w:val="en-US"/>
        </w:rPr>
      </w:pPr>
    </w:p>
    <w:p w:rsidR="00877E83" w:rsidRPr="00877E83" w:rsidRDefault="00877E83" w:rsidP="00877E83">
      <w:pPr>
        <w:pStyle w:val="PlainText"/>
        <w:numPr>
          <w:ilvl w:val="0"/>
          <w:numId w:val="30"/>
        </w:numPr>
        <w:jc w:val="both"/>
        <w:rPr>
          <w:rFonts w:ascii="Arial" w:eastAsiaTheme="minorEastAsia" w:hAnsi="Arial" w:cs="Arial"/>
          <w:color w:val="000000"/>
          <w:sz w:val="24"/>
          <w:szCs w:val="24"/>
        </w:rPr>
      </w:pPr>
      <w:r w:rsidRPr="00877E83">
        <w:rPr>
          <w:rFonts w:ascii="Arial" w:eastAsiaTheme="minorEastAsia" w:hAnsi="Arial" w:cs="Arial"/>
          <w:color w:val="000000"/>
          <w:sz w:val="24"/>
          <w:szCs w:val="24"/>
        </w:rPr>
        <w:t>During the period 21 – 25 April 2014, delegates toured the Utah Pradesh state in the Agra Constituency. They witnessed and learnt from some of the unique election practices in India, which include:</w:t>
      </w:r>
    </w:p>
    <w:p w:rsidR="00877E83" w:rsidRPr="00877E83" w:rsidRDefault="00877E83" w:rsidP="00877E83">
      <w:pPr>
        <w:pStyle w:val="PlainText"/>
        <w:jc w:val="both"/>
        <w:rPr>
          <w:rFonts w:ascii="Arial" w:eastAsiaTheme="minorEastAsia" w:hAnsi="Arial" w:cs="Arial"/>
          <w:color w:val="000000"/>
          <w:sz w:val="24"/>
          <w:szCs w:val="24"/>
        </w:rPr>
      </w:pPr>
    </w:p>
    <w:p w:rsidR="00877E83" w:rsidRPr="00877E83" w:rsidRDefault="00877E83" w:rsidP="00877E83">
      <w:pPr>
        <w:pStyle w:val="PlainText"/>
        <w:numPr>
          <w:ilvl w:val="0"/>
          <w:numId w:val="31"/>
        </w:numPr>
        <w:jc w:val="both"/>
        <w:rPr>
          <w:rFonts w:ascii="Arial" w:eastAsiaTheme="minorEastAsia" w:hAnsi="Arial" w:cs="Arial"/>
          <w:color w:val="000000"/>
          <w:sz w:val="24"/>
          <w:szCs w:val="24"/>
        </w:rPr>
      </w:pPr>
      <w:r w:rsidRPr="00877E83">
        <w:rPr>
          <w:rFonts w:ascii="Arial" w:eastAsiaTheme="minorEastAsia" w:hAnsi="Arial" w:cs="Arial"/>
          <w:color w:val="000000"/>
          <w:sz w:val="24"/>
          <w:szCs w:val="24"/>
        </w:rPr>
        <w:t xml:space="preserve">Use of technology in election management </w:t>
      </w:r>
    </w:p>
    <w:p w:rsidR="00877E83" w:rsidRPr="00877E83" w:rsidRDefault="00877E83" w:rsidP="00877E83">
      <w:pPr>
        <w:pStyle w:val="PlainText"/>
        <w:numPr>
          <w:ilvl w:val="1"/>
          <w:numId w:val="31"/>
        </w:numPr>
        <w:jc w:val="both"/>
        <w:rPr>
          <w:rFonts w:ascii="Arial" w:eastAsiaTheme="minorEastAsia" w:hAnsi="Arial" w:cs="Arial"/>
          <w:color w:val="000000"/>
          <w:sz w:val="24"/>
          <w:szCs w:val="24"/>
        </w:rPr>
      </w:pPr>
      <w:r w:rsidRPr="00877E83">
        <w:rPr>
          <w:rFonts w:ascii="Arial" w:eastAsiaTheme="minorEastAsia" w:hAnsi="Arial" w:cs="Arial"/>
          <w:color w:val="000000"/>
          <w:sz w:val="24"/>
          <w:szCs w:val="24"/>
        </w:rPr>
        <w:t>Communication Plan for Election (COMET)</w:t>
      </w:r>
    </w:p>
    <w:p w:rsidR="00877E83" w:rsidRPr="00877E83" w:rsidRDefault="00877E83" w:rsidP="00877E83">
      <w:pPr>
        <w:pStyle w:val="PlainText"/>
        <w:numPr>
          <w:ilvl w:val="1"/>
          <w:numId w:val="31"/>
        </w:numPr>
        <w:jc w:val="both"/>
        <w:rPr>
          <w:rFonts w:ascii="Arial" w:eastAsiaTheme="minorEastAsia" w:hAnsi="Arial" w:cs="Arial"/>
          <w:color w:val="000000"/>
          <w:sz w:val="24"/>
          <w:szCs w:val="24"/>
        </w:rPr>
      </w:pPr>
      <w:r w:rsidRPr="00877E83">
        <w:rPr>
          <w:rFonts w:ascii="Arial" w:eastAsiaTheme="minorEastAsia" w:hAnsi="Arial" w:cs="Arial"/>
          <w:color w:val="000000"/>
          <w:sz w:val="24"/>
          <w:szCs w:val="24"/>
        </w:rPr>
        <w:t xml:space="preserve">The use of Electronic Voting Machine (EMVs) </w:t>
      </w:r>
    </w:p>
    <w:p w:rsidR="00877E83" w:rsidRPr="00877E83" w:rsidRDefault="00877E83" w:rsidP="00877E83">
      <w:pPr>
        <w:pStyle w:val="PlainText"/>
        <w:numPr>
          <w:ilvl w:val="1"/>
          <w:numId w:val="31"/>
        </w:numPr>
        <w:jc w:val="both"/>
        <w:rPr>
          <w:rFonts w:ascii="Arial" w:eastAsiaTheme="minorEastAsia" w:hAnsi="Arial" w:cs="Arial"/>
          <w:color w:val="000000"/>
          <w:sz w:val="24"/>
          <w:szCs w:val="24"/>
        </w:rPr>
      </w:pPr>
      <w:r w:rsidRPr="00877E83">
        <w:rPr>
          <w:rFonts w:ascii="Arial" w:eastAsiaTheme="minorEastAsia" w:hAnsi="Arial" w:cs="Arial"/>
          <w:color w:val="000000"/>
          <w:sz w:val="24"/>
          <w:szCs w:val="24"/>
        </w:rPr>
        <w:t xml:space="preserve">Randomization process of EMVs, </w:t>
      </w:r>
    </w:p>
    <w:p w:rsidR="00877E83" w:rsidRPr="00877E83" w:rsidRDefault="00877E83" w:rsidP="00877E83">
      <w:pPr>
        <w:pStyle w:val="PlainText"/>
        <w:numPr>
          <w:ilvl w:val="0"/>
          <w:numId w:val="31"/>
        </w:numPr>
        <w:jc w:val="both"/>
        <w:rPr>
          <w:rFonts w:ascii="Arial" w:eastAsiaTheme="minorEastAsia" w:hAnsi="Arial" w:cs="Arial"/>
          <w:color w:val="000000"/>
          <w:sz w:val="24"/>
          <w:szCs w:val="24"/>
        </w:rPr>
      </w:pPr>
      <w:r w:rsidRPr="00877E83">
        <w:rPr>
          <w:rFonts w:ascii="Arial" w:eastAsiaTheme="minorEastAsia" w:hAnsi="Arial" w:cs="Arial"/>
          <w:color w:val="000000"/>
          <w:sz w:val="24"/>
          <w:szCs w:val="24"/>
        </w:rPr>
        <w:t>Monitoring of media,</w:t>
      </w:r>
    </w:p>
    <w:p w:rsidR="00877E83" w:rsidRPr="00877E83" w:rsidRDefault="00877E83" w:rsidP="00877E83">
      <w:pPr>
        <w:pStyle w:val="PlainText"/>
        <w:numPr>
          <w:ilvl w:val="0"/>
          <w:numId w:val="31"/>
        </w:numPr>
        <w:jc w:val="both"/>
        <w:rPr>
          <w:rFonts w:ascii="Arial" w:eastAsiaTheme="minorEastAsia" w:hAnsi="Arial" w:cs="Arial"/>
          <w:color w:val="000000"/>
          <w:sz w:val="24"/>
          <w:szCs w:val="24"/>
        </w:rPr>
      </w:pPr>
      <w:r w:rsidRPr="00877E83">
        <w:rPr>
          <w:rFonts w:ascii="Arial" w:eastAsiaTheme="minorEastAsia" w:hAnsi="Arial" w:cs="Arial"/>
          <w:color w:val="000000"/>
          <w:sz w:val="24"/>
          <w:szCs w:val="24"/>
        </w:rPr>
        <w:t>Expenditure Observers</w:t>
      </w:r>
    </w:p>
    <w:p w:rsidR="00437683" w:rsidRDefault="00437683" w:rsidP="000E265F">
      <w:pPr>
        <w:rPr>
          <w:rFonts w:cs="Arial"/>
          <w:color w:val="000000" w:themeColor="text1"/>
          <w:szCs w:val="24"/>
          <w:u w:val="single"/>
        </w:rPr>
      </w:pPr>
    </w:p>
    <w:p w:rsidR="00437683" w:rsidRDefault="00437683" w:rsidP="000E265F">
      <w:pPr>
        <w:rPr>
          <w:rFonts w:cs="Arial"/>
          <w:color w:val="000000" w:themeColor="text1"/>
          <w:szCs w:val="24"/>
          <w:u w:val="single"/>
        </w:rPr>
      </w:pPr>
    </w:p>
    <w:p w:rsidR="000E265F" w:rsidRDefault="000E265F" w:rsidP="000E265F">
      <w:pPr>
        <w:rPr>
          <w:b/>
          <w:u w:val="single"/>
        </w:rPr>
      </w:pPr>
      <w:r w:rsidRPr="001C7A65">
        <w:rPr>
          <w:rFonts w:cs="Arial"/>
          <w:b/>
          <w:color w:val="000000" w:themeColor="text1"/>
          <w:szCs w:val="24"/>
          <w:u w:val="single"/>
        </w:rPr>
        <w:t>National Assemb</w:t>
      </w:r>
      <w:r w:rsidRPr="00796A9D">
        <w:rPr>
          <w:rFonts w:cs="Arial"/>
          <w:b/>
          <w:color w:val="000000" w:themeColor="text1"/>
          <w:szCs w:val="24"/>
          <w:u w:val="single"/>
        </w:rPr>
        <w:t>l</w:t>
      </w:r>
      <w:r w:rsidRPr="00796A9D">
        <w:rPr>
          <w:b/>
          <w:u w:val="single"/>
        </w:rPr>
        <w:t>y</w:t>
      </w:r>
    </w:p>
    <w:p w:rsidR="000E265F" w:rsidRPr="000E265F" w:rsidRDefault="000E265F" w:rsidP="000E265F">
      <w:pPr>
        <w:rPr>
          <w:rFonts w:cs="Arial"/>
          <w:color w:val="000000" w:themeColor="text1"/>
          <w:szCs w:val="24"/>
          <w:u w:val="single"/>
        </w:rPr>
      </w:pPr>
    </w:p>
    <w:p w:rsidR="007D3EFD" w:rsidRPr="0081449F" w:rsidRDefault="0085493E" w:rsidP="0081449F">
      <w:pPr>
        <w:pStyle w:val="ListParagraph"/>
        <w:numPr>
          <w:ilvl w:val="0"/>
          <w:numId w:val="27"/>
        </w:numPr>
        <w:rPr>
          <w:rFonts w:cs="Arial"/>
          <w:color w:val="000000" w:themeColor="text1"/>
          <w:szCs w:val="24"/>
          <w:u w:val="single"/>
        </w:rPr>
      </w:pPr>
      <w:r w:rsidRPr="0081449F">
        <w:rPr>
          <w:rFonts w:cs="Arial"/>
          <w:color w:val="000000" w:themeColor="text1"/>
          <w:szCs w:val="24"/>
          <w:u w:val="single"/>
        </w:rPr>
        <w:t>Due to the fact that the National Assembly completed all its activities by December 31</w:t>
      </w:r>
      <w:r w:rsidRPr="0081449F">
        <w:rPr>
          <w:rFonts w:cs="Arial"/>
          <w:color w:val="000000" w:themeColor="text1"/>
          <w:szCs w:val="24"/>
          <w:u w:val="single"/>
          <w:vertAlign w:val="superscript"/>
        </w:rPr>
        <w:t>st</w:t>
      </w:r>
      <w:r w:rsidRPr="0081449F">
        <w:rPr>
          <w:rFonts w:cs="Arial"/>
          <w:color w:val="000000" w:themeColor="text1"/>
          <w:szCs w:val="24"/>
          <w:u w:val="single"/>
        </w:rPr>
        <w:t>, no activities were undertaken</w:t>
      </w:r>
      <w:r w:rsidR="00877E83">
        <w:rPr>
          <w:rFonts w:cs="Arial"/>
          <w:color w:val="000000" w:themeColor="text1"/>
          <w:szCs w:val="24"/>
          <w:u w:val="single"/>
        </w:rPr>
        <w:t xml:space="preserve"> this year.</w:t>
      </w:r>
    </w:p>
    <w:p w:rsidR="007D3EFD" w:rsidRPr="0081449F" w:rsidRDefault="007D3EFD" w:rsidP="000E265F">
      <w:pPr>
        <w:rPr>
          <w:rFonts w:cs="Arial"/>
          <w:color w:val="000000" w:themeColor="text1"/>
          <w:szCs w:val="24"/>
          <w:u w:val="single"/>
        </w:rPr>
      </w:pPr>
    </w:p>
    <w:p w:rsidR="00437683" w:rsidRDefault="00437683" w:rsidP="000E265F">
      <w:pPr>
        <w:rPr>
          <w:rFonts w:cs="Arial"/>
          <w:b/>
          <w:color w:val="000000" w:themeColor="text1"/>
          <w:szCs w:val="24"/>
          <w:u w:val="single"/>
        </w:rPr>
      </w:pPr>
    </w:p>
    <w:p w:rsidR="000E265F" w:rsidRPr="001C7A65" w:rsidRDefault="000E265F" w:rsidP="000E265F">
      <w:pPr>
        <w:rPr>
          <w:rFonts w:cs="Arial"/>
          <w:b/>
          <w:color w:val="000000" w:themeColor="text1"/>
          <w:szCs w:val="24"/>
          <w:u w:val="single"/>
        </w:rPr>
      </w:pPr>
      <w:r w:rsidRPr="001C7A65">
        <w:rPr>
          <w:rFonts w:cs="Arial"/>
          <w:b/>
          <w:color w:val="000000" w:themeColor="text1"/>
          <w:szCs w:val="24"/>
          <w:u w:val="single"/>
        </w:rPr>
        <w:t xml:space="preserve">Ministry of </w:t>
      </w:r>
      <w:r>
        <w:rPr>
          <w:rFonts w:cs="Arial"/>
          <w:b/>
          <w:color w:val="000000" w:themeColor="text1"/>
          <w:szCs w:val="24"/>
          <w:u w:val="single"/>
        </w:rPr>
        <w:t>Law</w:t>
      </w:r>
      <w:r w:rsidRPr="001C7A65">
        <w:rPr>
          <w:rFonts w:cs="Arial"/>
          <w:b/>
          <w:color w:val="000000" w:themeColor="text1"/>
          <w:szCs w:val="24"/>
          <w:u w:val="single"/>
        </w:rPr>
        <w:t xml:space="preserve">, </w:t>
      </w:r>
      <w:r>
        <w:rPr>
          <w:rFonts w:cs="Arial"/>
          <w:b/>
          <w:color w:val="000000" w:themeColor="text1"/>
          <w:szCs w:val="24"/>
          <w:u w:val="single"/>
        </w:rPr>
        <w:t xml:space="preserve">Constitutional Affairs and </w:t>
      </w:r>
      <w:r w:rsidRPr="001C7A65">
        <w:rPr>
          <w:rFonts w:cs="Arial"/>
          <w:b/>
          <w:color w:val="000000" w:themeColor="text1"/>
          <w:szCs w:val="24"/>
          <w:u w:val="single"/>
        </w:rPr>
        <w:t xml:space="preserve">Human Rights </w:t>
      </w:r>
    </w:p>
    <w:p w:rsidR="0085493E" w:rsidRDefault="0085493E" w:rsidP="0085493E">
      <w:pPr>
        <w:pStyle w:val="PlainText"/>
      </w:pPr>
    </w:p>
    <w:p w:rsidR="00877E83" w:rsidRPr="00877E83" w:rsidRDefault="00877E83" w:rsidP="00877E83">
      <w:pPr>
        <w:pStyle w:val="ListParagraph"/>
        <w:numPr>
          <w:ilvl w:val="0"/>
          <w:numId w:val="33"/>
        </w:numPr>
        <w:jc w:val="both"/>
        <w:rPr>
          <w:szCs w:val="24"/>
        </w:rPr>
      </w:pPr>
      <w:r w:rsidRPr="00877E83">
        <w:rPr>
          <w:rFonts w:cs="Arial"/>
          <w:szCs w:val="24"/>
        </w:rPr>
        <w:t xml:space="preserve"> Held a</w:t>
      </w:r>
      <w:r w:rsidR="0085493E" w:rsidRPr="00877E83">
        <w:rPr>
          <w:rFonts w:cs="Arial"/>
          <w:szCs w:val="24"/>
        </w:rPr>
        <w:t xml:space="preserve"> consultative workshop on human rights policy fr</w:t>
      </w:r>
      <w:r w:rsidRPr="00877E83">
        <w:rPr>
          <w:rFonts w:cs="Arial"/>
          <w:szCs w:val="24"/>
        </w:rPr>
        <w:t>om</w:t>
      </w:r>
      <w:r w:rsidR="0085493E" w:rsidRPr="00877E83">
        <w:rPr>
          <w:rFonts w:cs="Arial"/>
          <w:szCs w:val="24"/>
        </w:rPr>
        <w:t xml:space="preserve"> 15 to 16 </w:t>
      </w:r>
      <w:r w:rsidRPr="00877E83">
        <w:rPr>
          <w:rFonts w:cs="Arial"/>
          <w:szCs w:val="24"/>
        </w:rPr>
        <w:t>June</w:t>
      </w:r>
      <w:r w:rsidR="0085493E" w:rsidRPr="00877E83">
        <w:rPr>
          <w:rFonts w:cs="Arial"/>
          <w:szCs w:val="24"/>
        </w:rPr>
        <w:t>, 2014.</w:t>
      </w:r>
      <w:r w:rsidRPr="00877E83">
        <w:rPr>
          <w:rFonts w:cs="Arial"/>
          <w:szCs w:val="24"/>
        </w:rPr>
        <w:t xml:space="preserve"> </w:t>
      </w:r>
      <w:r w:rsidRPr="00877E83">
        <w:rPr>
          <w:szCs w:val="24"/>
        </w:rPr>
        <w:t>The consultative workshop on the development of a national human rights policy was facilitated by Professor Michelo Hansungule from the Center for Human Rights, University of Pretoria. Participants were drawn from various Ministries, Non- Governmental Organizations, Media and Civil Society Organizations.</w:t>
      </w:r>
    </w:p>
    <w:p w:rsidR="00877E83" w:rsidRPr="00877E83" w:rsidRDefault="00877E83" w:rsidP="00877E83">
      <w:pPr>
        <w:jc w:val="both"/>
        <w:rPr>
          <w:szCs w:val="24"/>
        </w:rPr>
      </w:pPr>
    </w:p>
    <w:p w:rsidR="00877E83" w:rsidRPr="00877E83" w:rsidRDefault="00877E83" w:rsidP="008E1372">
      <w:pPr>
        <w:pStyle w:val="ListParagraph"/>
        <w:jc w:val="both"/>
        <w:rPr>
          <w:szCs w:val="24"/>
        </w:rPr>
      </w:pPr>
      <w:r w:rsidRPr="00877E83">
        <w:rPr>
          <w:szCs w:val="24"/>
        </w:rPr>
        <w:t>The workshop was officially opened by the Deputy Attorney General, Adv. Tsebang Putsoane, who delivered a statement on behalf of the Minister of Law.The nature and concept of human rights was discussed. Human rights were defined and elaborated as those rights that are inherent to a human being i.e. every M</w:t>
      </w:r>
      <w:r>
        <w:rPr>
          <w:szCs w:val="24"/>
        </w:rPr>
        <w:t>o</w:t>
      </w:r>
      <w:r w:rsidRPr="00877E83">
        <w:rPr>
          <w:szCs w:val="24"/>
        </w:rPr>
        <w:t>s</w:t>
      </w:r>
      <w:r>
        <w:rPr>
          <w:szCs w:val="24"/>
        </w:rPr>
        <w:t>o</w:t>
      </w:r>
      <w:r w:rsidRPr="00877E83">
        <w:rPr>
          <w:szCs w:val="24"/>
        </w:rPr>
        <w:t>th</w:t>
      </w:r>
      <w:r>
        <w:rPr>
          <w:szCs w:val="24"/>
        </w:rPr>
        <w:t>o</w:t>
      </w:r>
      <w:r w:rsidRPr="00877E83">
        <w:rPr>
          <w:szCs w:val="24"/>
        </w:rPr>
        <w:t>. It was stated that rights are individually held. Jack Donelly was quoted as defining human rights as follows: “Fundamental entitlements due to every human being which a human being holds by virtue of being human.” The Constitution of Lesotho spells out fundamental rights in Chapter 2, however, it was pointed out that there i</w:t>
      </w:r>
      <w:r>
        <w:rPr>
          <w:szCs w:val="24"/>
        </w:rPr>
        <w:t>s</w:t>
      </w:r>
      <w:r w:rsidRPr="00877E83">
        <w:rPr>
          <w:szCs w:val="24"/>
        </w:rPr>
        <w:t xml:space="preserve"> no constitution in the world that defined the concept of human rights before articulating the rights. Though not defined in most local and international instruments, human rights are sufficiently described and in any case are being implemented. </w:t>
      </w:r>
    </w:p>
    <w:p w:rsidR="00877E83" w:rsidRPr="00877E83" w:rsidRDefault="00877E83" w:rsidP="00877E83">
      <w:pPr>
        <w:pStyle w:val="ListParagraph"/>
        <w:rPr>
          <w:szCs w:val="24"/>
        </w:rPr>
      </w:pPr>
    </w:p>
    <w:p w:rsidR="00877E83" w:rsidRPr="00877E83" w:rsidRDefault="00877E83" w:rsidP="008E1372">
      <w:pPr>
        <w:pStyle w:val="ListParagraph"/>
        <w:jc w:val="both"/>
        <w:rPr>
          <w:szCs w:val="24"/>
        </w:rPr>
      </w:pPr>
      <w:r w:rsidRPr="00877E83">
        <w:rPr>
          <w:szCs w:val="24"/>
        </w:rPr>
        <w:t>Human Rights Protection Machinery at the various levels was also discussed. It was stated that at the United Nations level, there is the Human Rights Council that is presently made up of 47 members. There are also various treaty making bodies which are responsible for monitoring the various treaties, such as, the Human Rights Committee that is responsible for monitoring the International Covenant on Civil and Political Rights. At the African Union level, there is the African Commission on Human and Peoples’ Rights as well as the African Court on Human and Peoples’ Rights and these are responsible for monitoring of human rights. At the domestic, there are courts of law that are responsible for protection of human rights.</w:t>
      </w:r>
    </w:p>
    <w:p w:rsidR="0085493E" w:rsidRPr="00877E83" w:rsidRDefault="0085493E" w:rsidP="0085493E">
      <w:pPr>
        <w:pStyle w:val="PlainText"/>
        <w:rPr>
          <w:rFonts w:ascii="Arial" w:hAnsi="Arial" w:cs="Arial"/>
          <w:sz w:val="24"/>
          <w:szCs w:val="24"/>
        </w:rPr>
      </w:pPr>
    </w:p>
    <w:p w:rsidR="0081449F" w:rsidRDefault="0081449F" w:rsidP="00635D57">
      <w:pPr>
        <w:rPr>
          <w:rFonts w:cs="Arial"/>
          <w:b/>
          <w:color w:val="000000" w:themeColor="text1"/>
          <w:szCs w:val="24"/>
          <w:u w:val="single"/>
        </w:rPr>
      </w:pPr>
    </w:p>
    <w:p w:rsidR="00635D57" w:rsidRDefault="00987CF2" w:rsidP="00635D57">
      <w:pPr>
        <w:rPr>
          <w:rFonts w:cs="Arial"/>
          <w:color w:val="000000" w:themeColor="text1"/>
          <w:szCs w:val="24"/>
        </w:rPr>
      </w:pPr>
      <w:r w:rsidRPr="001C7A65">
        <w:rPr>
          <w:rFonts w:cs="Arial"/>
          <w:b/>
          <w:color w:val="000000" w:themeColor="text1"/>
          <w:szCs w:val="24"/>
          <w:u w:val="single"/>
        </w:rPr>
        <w:t>Senate</w:t>
      </w:r>
    </w:p>
    <w:p w:rsidR="00635D57" w:rsidRDefault="00635D57" w:rsidP="00635D57">
      <w:pPr>
        <w:rPr>
          <w:rFonts w:cs="Arial"/>
          <w:color w:val="000000" w:themeColor="text1"/>
          <w:szCs w:val="24"/>
        </w:rPr>
      </w:pPr>
    </w:p>
    <w:p w:rsidR="008E1372" w:rsidRPr="008E1372" w:rsidRDefault="00877E83" w:rsidP="00896B8D">
      <w:pPr>
        <w:pStyle w:val="ListParagraph"/>
        <w:numPr>
          <w:ilvl w:val="0"/>
          <w:numId w:val="27"/>
        </w:numPr>
        <w:rPr>
          <w:color w:val="000000" w:themeColor="text1"/>
        </w:rPr>
      </w:pPr>
      <w:r>
        <w:rPr>
          <w:rFonts w:ascii="Helvetica" w:hAnsi="Helvetica" w:cs="Helvetica"/>
          <w:color w:val="000000"/>
        </w:rPr>
        <w:t>Completed the process of</w:t>
      </w:r>
      <w:r w:rsidR="0081449F">
        <w:rPr>
          <w:rFonts w:ascii="Helvetica" w:hAnsi="Helvetica" w:cs="Helvetica"/>
          <w:color w:val="000000"/>
        </w:rPr>
        <w:t xml:space="preserve"> printing Sesotho and English Versions of Senate Standing Orders</w:t>
      </w:r>
      <w:r w:rsidR="00896B8D">
        <w:rPr>
          <w:rFonts w:ascii="Helvetica" w:hAnsi="Helvetica" w:cs="Helvetica"/>
          <w:color w:val="000000"/>
        </w:rPr>
        <w:t>.</w:t>
      </w:r>
      <w:r w:rsidR="0081449F">
        <w:rPr>
          <w:rFonts w:ascii="Helvetica" w:hAnsi="Helvetica" w:cs="Helvetica"/>
          <w:color w:val="000000"/>
        </w:rPr>
        <w:t xml:space="preserve"> </w:t>
      </w:r>
    </w:p>
    <w:p w:rsidR="008E1372" w:rsidRPr="008E1372" w:rsidRDefault="008E1372" w:rsidP="008E1372">
      <w:pPr>
        <w:pStyle w:val="ListParagraph"/>
        <w:rPr>
          <w:color w:val="000000" w:themeColor="text1"/>
        </w:rPr>
      </w:pPr>
    </w:p>
    <w:p w:rsidR="00987CF2" w:rsidRPr="008E1372" w:rsidRDefault="009F04F7" w:rsidP="00896B8D">
      <w:pPr>
        <w:pStyle w:val="ListParagraph"/>
        <w:numPr>
          <w:ilvl w:val="0"/>
          <w:numId w:val="27"/>
        </w:numPr>
        <w:rPr>
          <w:b/>
          <w:color w:val="000000" w:themeColor="text1"/>
          <w:u w:val="single"/>
        </w:rPr>
      </w:pPr>
      <w:r w:rsidRPr="008E1372">
        <w:rPr>
          <w:rFonts w:cs="Arial"/>
          <w:b/>
          <w:color w:val="000000" w:themeColor="text1"/>
          <w:szCs w:val="28"/>
          <w:u w:val="single"/>
        </w:rPr>
        <w:t>3.)</w:t>
      </w:r>
      <w:r w:rsidR="009D5EAE" w:rsidRPr="008E1372">
        <w:rPr>
          <w:rFonts w:cs="Arial"/>
          <w:b/>
          <w:color w:val="000000" w:themeColor="text1"/>
          <w:szCs w:val="28"/>
          <w:u w:val="single"/>
        </w:rPr>
        <w:t xml:space="preserve"> </w:t>
      </w:r>
      <w:r w:rsidR="00F700AA" w:rsidRPr="008E1372">
        <w:rPr>
          <w:rFonts w:cs="Arial"/>
          <w:b/>
          <w:color w:val="000000" w:themeColor="text1"/>
          <w:szCs w:val="28"/>
          <w:u w:val="single"/>
        </w:rPr>
        <w:t xml:space="preserve">Planned </w:t>
      </w:r>
      <w:r w:rsidR="00DB3D83" w:rsidRPr="008E1372">
        <w:rPr>
          <w:b/>
          <w:color w:val="000000" w:themeColor="text1"/>
          <w:u w:val="single"/>
        </w:rPr>
        <w:t>Activities</w:t>
      </w:r>
      <w:r w:rsidR="00F700AA" w:rsidRPr="008E1372">
        <w:rPr>
          <w:b/>
          <w:color w:val="000000" w:themeColor="text1"/>
          <w:u w:val="single"/>
        </w:rPr>
        <w:t xml:space="preserve"> for </w:t>
      </w:r>
      <w:r w:rsidR="00877E83" w:rsidRPr="008E1372">
        <w:rPr>
          <w:b/>
          <w:color w:val="000000" w:themeColor="text1"/>
          <w:u w:val="single"/>
        </w:rPr>
        <w:t>3</w:t>
      </w:r>
      <w:r w:rsidR="00877E83" w:rsidRPr="008E1372">
        <w:rPr>
          <w:b/>
          <w:color w:val="000000" w:themeColor="text1"/>
          <w:u w:val="single"/>
          <w:vertAlign w:val="superscript"/>
        </w:rPr>
        <w:t>rd</w:t>
      </w:r>
      <w:r w:rsidR="00877E83" w:rsidRPr="008E1372">
        <w:rPr>
          <w:b/>
          <w:color w:val="000000" w:themeColor="text1"/>
          <w:u w:val="single"/>
        </w:rPr>
        <w:t xml:space="preserve"> </w:t>
      </w:r>
      <w:r w:rsidR="00F700AA" w:rsidRPr="008E1372">
        <w:rPr>
          <w:b/>
          <w:color w:val="000000" w:themeColor="text1"/>
          <w:u w:val="single"/>
        </w:rPr>
        <w:t>Quarter 2014</w:t>
      </w:r>
      <w:r w:rsidR="001A36C3" w:rsidRPr="008E1372">
        <w:rPr>
          <w:b/>
          <w:color w:val="000000" w:themeColor="text1"/>
          <w:u w:val="single"/>
        </w:rPr>
        <w:t xml:space="preserve"> </w:t>
      </w:r>
    </w:p>
    <w:p w:rsidR="00987CF2" w:rsidRPr="001C7A65" w:rsidRDefault="00987CF2" w:rsidP="00987CF2">
      <w:pPr>
        <w:rPr>
          <w:rFonts w:cs="Arial"/>
          <w:b/>
          <w:bCs/>
          <w:color w:val="000000" w:themeColor="text1"/>
          <w:szCs w:val="24"/>
        </w:rPr>
      </w:pPr>
    </w:p>
    <w:p w:rsidR="00987CF2" w:rsidRDefault="00987CF2" w:rsidP="00987CF2">
      <w:pPr>
        <w:rPr>
          <w:rFonts w:eastAsiaTheme="minorHAnsi" w:cs="Arial"/>
          <w:color w:val="000000" w:themeColor="text1"/>
          <w:szCs w:val="24"/>
          <w:lang w:val="en-US"/>
        </w:rPr>
      </w:pPr>
    </w:p>
    <w:p w:rsidR="007619DA" w:rsidRDefault="007619DA" w:rsidP="00987CF2">
      <w:pPr>
        <w:rPr>
          <w:rFonts w:eastAsiaTheme="minorHAnsi" w:cs="Arial"/>
          <w:color w:val="000000" w:themeColor="text1"/>
          <w:szCs w:val="24"/>
          <w:lang w:val="en-US"/>
        </w:rPr>
      </w:pPr>
    </w:p>
    <w:p w:rsidR="007619DA" w:rsidRDefault="007619DA" w:rsidP="007619DA">
      <w:pPr>
        <w:rPr>
          <w:rFonts w:cs="Arial"/>
          <w:b/>
          <w:bCs/>
          <w:color w:val="000000" w:themeColor="text1"/>
          <w:szCs w:val="24"/>
        </w:rPr>
      </w:pPr>
      <w:r>
        <w:rPr>
          <w:rFonts w:cs="Arial"/>
          <w:b/>
          <w:bCs/>
          <w:color w:val="000000" w:themeColor="text1"/>
          <w:szCs w:val="24"/>
        </w:rPr>
        <w:t>PROJECT MANAGEMENT</w:t>
      </w:r>
    </w:p>
    <w:p w:rsidR="00877E83" w:rsidRPr="001C7A65" w:rsidRDefault="00877E83" w:rsidP="007619DA">
      <w:pPr>
        <w:rPr>
          <w:rFonts w:cs="Arial"/>
          <w:b/>
          <w:bCs/>
          <w:color w:val="000000" w:themeColor="text1"/>
          <w:szCs w:val="24"/>
        </w:rPr>
      </w:pPr>
    </w:p>
    <w:tbl>
      <w:tblPr>
        <w:tblW w:w="0" w:type="auto"/>
        <w:tblCellMar>
          <w:left w:w="0" w:type="dxa"/>
          <w:right w:w="0" w:type="dxa"/>
        </w:tblCellMar>
        <w:tblLook w:val="04A0" w:firstRow="1" w:lastRow="0" w:firstColumn="1" w:lastColumn="0" w:noHBand="0" w:noVBand="1"/>
      </w:tblPr>
      <w:tblGrid>
        <w:gridCol w:w="9198"/>
      </w:tblGrid>
      <w:tr w:rsidR="007619DA" w:rsidRPr="001C7A65" w:rsidTr="007619DA">
        <w:tc>
          <w:tcPr>
            <w:tcW w:w="9198" w:type="dxa"/>
            <w:tcBorders>
              <w:top w:val="nil"/>
              <w:left w:val="single" w:sz="8" w:space="0" w:color="000000"/>
              <w:bottom w:val="nil"/>
              <w:right w:val="single" w:sz="8" w:space="0" w:color="000000"/>
            </w:tcBorders>
            <w:tcMar>
              <w:top w:w="0" w:type="dxa"/>
              <w:left w:w="108" w:type="dxa"/>
              <w:bottom w:w="0" w:type="dxa"/>
              <w:right w:w="108" w:type="dxa"/>
            </w:tcMar>
            <w:hideMark/>
          </w:tcPr>
          <w:p w:rsidR="0081449F" w:rsidRDefault="007619DA" w:rsidP="00877E83">
            <w:pPr>
              <w:pStyle w:val="ListParagraph"/>
              <w:numPr>
                <w:ilvl w:val="0"/>
                <w:numId w:val="32"/>
              </w:numPr>
              <w:rPr>
                <w:rFonts w:cs="Arial"/>
                <w:color w:val="000000" w:themeColor="text1"/>
                <w:szCs w:val="24"/>
              </w:rPr>
            </w:pPr>
            <w:r w:rsidRPr="00877E83">
              <w:rPr>
                <w:rFonts w:cs="Arial"/>
                <w:color w:val="000000" w:themeColor="text1"/>
                <w:szCs w:val="24"/>
              </w:rPr>
              <w:t>Conduct an evaluation of the project</w:t>
            </w:r>
          </w:p>
          <w:p w:rsidR="00877E83" w:rsidRPr="00877E83" w:rsidRDefault="00877E83" w:rsidP="00877E83">
            <w:pPr>
              <w:pStyle w:val="ListParagraph"/>
              <w:numPr>
                <w:ilvl w:val="0"/>
                <w:numId w:val="32"/>
              </w:numPr>
              <w:rPr>
                <w:rFonts w:cs="Arial"/>
                <w:color w:val="000000" w:themeColor="text1"/>
                <w:szCs w:val="24"/>
              </w:rPr>
            </w:pPr>
            <w:r>
              <w:rPr>
                <w:rFonts w:cs="Arial"/>
                <w:color w:val="000000" w:themeColor="text1"/>
                <w:szCs w:val="24"/>
              </w:rPr>
              <w:t>Handover of assets to Implementing Partners</w:t>
            </w:r>
          </w:p>
          <w:p w:rsidR="0081449F" w:rsidRPr="00877E83" w:rsidRDefault="0081449F" w:rsidP="00877E83">
            <w:pPr>
              <w:pStyle w:val="ListParagraph"/>
              <w:numPr>
                <w:ilvl w:val="0"/>
                <w:numId w:val="32"/>
              </w:numPr>
              <w:rPr>
                <w:rFonts w:eastAsiaTheme="minorHAnsi" w:cs="Arial"/>
                <w:bCs/>
                <w:color w:val="000000" w:themeColor="text1"/>
                <w:szCs w:val="24"/>
              </w:rPr>
            </w:pPr>
            <w:r w:rsidRPr="00877E83">
              <w:rPr>
                <w:rFonts w:eastAsiaTheme="minorHAnsi" w:cs="Arial"/>
                <w:bCs/>
                <w:color w:val="000000" w:themeColor="text1"/>
                <w:szCs w:val="24"/>
              </w:rPr>
              <w:t>Wrap-up</w:t>
            </w:r>
          </w:p>
          <w:p w:rsidR="0081449F" w:rsidRPr="00877E83" w:rsidRDefault="0081449F" w:rsidP="00877E83">
            <w:pPr>
              <w:pStyle w:val="ListParagraph"/>
              <w:numPr>
                <w:ilvl w:val="0"/>
                <w:numId w:val="32"/>
              </w:numPr>
              <w:rPr>
                <w:rFonts w:eastAsiaTheme="minorHAnsi" w:cs="Arial"/>
                <w:b/>
                <w:bCs/>
                <w:color w:val="000000" w:themeColor="text1"/>
                <w:szCs w:val="24"/>
              </w:rPr>
            </w:pPr>
            <w:r w:rsidRPr="00877E83">
              <w:rPr>
                <w:rFonts w:eastAsiaTheme="minorHAnsi" w:cs="Arial"/>
                <w:bCs/>
                <w:color w:val="000000" w:themeColor="text1"/>
                <w:szCs w:val="24"/>
              </w:rPr>
              <w:t>Operational</w:t>
            </w:r>
            <w:r w:rsidR="00877E83">
              <w:rPr>
                <w:rFonts w:eastAsiaTheme="minorHAnsi" w:cs="Arial"/>
                <w:bCs/>
                <w:color w:val="000000" w:themeColor="text1"/>
                <w:szCs w:val="24"/>
              </w:rPr>
              <w:t xml:space="preserve"> and financial</w:t>
            </w:r>
            <w:r w:rsidRPr="00877E83">
              <w:rPr>
                <w:rFonts w:eastAsiaTheme="minorHAnsi" w:cs="Arial"/>
                <w:bCs/>
                <w:color w:val="000000" w:themeColor="text1"/>
                <w:szCs w:val="24"/>
              </w:rPr>
              <w:t xml:space="preserve"> closure</w:t>
            </w:r>
          </w:p>
        </w:tc>
      </w:tr>
      <w:tr w:rsidR="007619DA" w:rsidRPr="001C7A65" w:rsidTr="0081449F">
        <w:tc>
          <w:tcPr>
            <w:tcW w:w="9198" w:type="dxa"/>
            <w:tcBorders>
              <w:top w:val="nil"/>
              <w:left w:val="single" w:sz="8" w:space="0" w:color="000000"/>
              <w:bottom w:val="nil"/>
              <w:right w:val="single" w:sz="8" w:space="0" w:color="000000"/>
            </w:tcBorders>
            <w:tcMar>
              <w:top w:w="0" w:type="dxa"/>
              <w:left w:w="108" w:type="dxa"/>
              <w:bottom w:w="0" w:type="dxa"/>
              <w:right w:w="108" w:type="dxa"/>
            </w:tcMar>
          </w:tcPr>
          <w:p w:rsidR="007619DA" w:rsidRDefault="007619DA" w:rsidP="00A95579">
            <w:pPr>
              <w:rPr>
                <w:rFonts w:cs="Arial"/>
                <w:color w:val="000000" w:themeColor="text1"/>
                <w:szCs w:val="24"/>
              </w:rPr>
            </w:pPr>
          </w:p>
        </w:tc>
      </w:tr>
      <w:tr w:rsidR="0081449F" w:rsidRPr="001C7A65" w:rsidTr="0081449F">
        <w:trPr>
          <w:trHeight w:val="80"/>
        </w:trPr>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1449F" w:rsidRDefault="0081449F" w:rsidP="00A95579">
            <w:pPr>
              <w:rPr>
                <w:rFonts w:cs="Arial"/>
                <w:color w:val="000000" w:themeColor="text1"/>
                <w:szCs w:val="24"/>
              </w:rPr>
            </w:pPr>
          </w:p>
        </w:tc>
      </w:tr>
    </w:tbl>
    <w:p w:rsidR="007619DA" w:rsidRPr="001C7A65" w:rsidRDefault="007619DA" w:rsidP="007619DA">
      <w:pPr>
        <w:rPr>
          <w:rFonts w:eastAsiaTheme="minorHAnsi" w:cs="Arial"/>
          <w:color w:val="000000" w:themeColor="text1"/>
          <w:szCs w:val="24"/>
          <w:lang w:val="en-US"/>
        </w:rPr>
      </w:pPr>
    </w:p>
    <w:p w:rsidR="007619DA" w:rsidRDefault="007619DA" w:rsidP="00987CF2">
      <w:pPr>
        <w:rPr>
          <w:rFonts w:eastAsiaTheme="minorHAnsi" w:cs="Arial"/>
          <w:color w:val="000000" w:themeColor="text1"/>
          <w:szCs w:val="24"/>
          <w:lang w:val="en-US"/>
        </w:rPr>
      </w:pPr>
    </w:p>
    <w:p w:rsidR="006B0533" w:rsidRPr="001C7A65" w:rsidRDefault="006B0533" w:rsidP="006B0533">
      <w:pPr>
        <w:rPr>
          <w:color w:val="000000" w:themeColor="text1"/>
        </w:rPr>
      </w:pPr>
    </w:p>
    <w:tbl>
      <w:tblPr>
        <w:tblW w:w="13261" w:type="dxa"/>
        <w:tblLook w:val="01E0" w:firstRow="1" w:lastRow="1" w:firstColumn="1" w:lastColumn="1" w:noHBand="0" w:noVBand="0"/>
      </w:tblPr>
      <w:tblGrid>
        <w:gridCol w:w="3036"/>
        <w:gridCol w:w="3408"/>
        <w:gridCol w:w="6817"/>
      </w:tblGrid>
      <w:tr w:rsidR="00987CF2" w:rsidRPr="001C7A65" w:rsidTr="00E0799A">
        <w:trPr>
          <w:trHeight w:val="3281"/>
        </w:trPr>
        <w:tc>
          <w:tcPr>
            <w:tcW w:w="3036" w:type="dxa"/>
            <w:vAlign w:val="center"/>
          </w:tcPr>
          <w:p w:rsidR="00987CF2" w:rsidRPr="001C7A65" w:rsidRDefault="00E0799A" w:rsidP="009E6F47">
            <w:pPr>
              <w:spacing w:before="20" w:after="20"/>
              <w:rPr>
                <w:rFonts w:cs="Arial"/>
                <w:b/>
                <w:color w:val="000000" w:themeColor="text1"/>
                <w:sz w:val="20"/>
              </w:rPr>
            </w:pPr>
            <w:r w:rsidRPr="001C7A65">
              <w:rPr>
                <w:rFonts w:cs="Arial"/>
                <w:b/>
                <w:color w:val="000000" w:themeColor="text1"/>
                <w:sz w:val="28"/>
                <w:szCs w:val="28"/>
              </w:rPr>
              <w:t>4</w:t>
            </w:r>
            <w:r w:rsidR="009F04F7" w:rsidRPr="001C7A65">
              <w:rPr>
                <w:rFonts w:cs="Arial"/>
                <w:b/>
                <w:color w:val="000000" w:themeColor="text1"/>
                <w:sz w:val="28"/>
                <w:szCs w:val="28"/>
              </w:rPr>
              <w:t>.)</w:t>
            </w:r>
            <w:r w:rsidR="00987CF2" w:rsidRPr="001C7A65">
              <w:rPr>
                <w:rFonts w:cs="Arial"/>
                <w:b/>
                <w:color w:val="000000" w:themeColor="text1"/>
                <w:sz w:val="28"/>
                <w:szCs w:val="28"/>
              </w:rPr>
              <w:t xml:space="preserve">  </w:t>
            </w:r>
            <w:r w:rsidR="00987CF2" w:rsidRPr="001C7A65">
              <w:rPr>
                <w:rFonts w:cs="Arial"/>
                <w:b/>
                <w:color w:val="000000" w:themeColor="text1"/>
                <w:szCs w:val="24"/>
              </w:rPr>
              <w:t xml:space="preserve"> </w:t>
            </w:r>
            <w:r w:rsidR="00987CF2" w:rsidRPr="001C7A65">
              <w:rPr>
                <w:rFonts w:cs="Arial"/>
                <w:b/>
                <w:color w:val="000000" w:themeColor="text1"/>
                <w:sz w:val="28"/>
                <w:szCs w:val="28"/>
              </w:rPr>
              <w:t>Legend</w:t>
            </w:r>
          </w:p>
          <w:p w:rsidR="00987CF2" w:rsidRPr="001C7A65" w:rsidRDefault="00987CF2" w:rsidP="009E6F47">
            <w:pPr>
              <w:spacing w:before="20" w:after="20"/>
              <w:rPr>
                <w:rFonts w:cs="Arial"/>
                <w:b/>
                <w:color w:val="000000" w:themeColor="text1"/>
                <w:sz w:val="20"/>
              </w:rPr>
            </w:pPr>
          </w:p>
          <w:p w:rsidR="00987CF2" w:rsidRPr="001C7A65" w:rsidRDefault="00987CF2" w:rsidP="009E6F47">
            <w:pPr>
              <w:spacing w:before="20" w:after="20"/>
              <w:rPr>
                <w:rFonts w:cs="Arial"/>
                <w:b/>
                <w:color w:val="000000" w:themeColor="text1"/>
                <w:sz w:val="20"/>
              </w:rPr>
            </w:pPr>
          </w:p>
          <w:p w:rsidR="00987CF2" w:rsidRPr="001C7A65" w:rsidRDefault="00987CF2" w:rsidP="009E6F47">
            <w:pPr>
              <w:spacing w:before="20" w:after="20"/>
              <w:rPr>
                <w:rFonts w:cs="Arial"/>
                <w:b/>
                <w:color w:val="000000" w:themeColor="text1"/>
                <w:sz w:val="20"/>
              </w:rPr>
            </w:pPr>
          </w:p>
          <w:p w:rsidR="00987CF2" w:rsidRPr="001C7A65" w:rsidRDefault="00987CF2" w:rsidP="009E6F47">
            <w:pPr>
              <w:spacing w:before="20" w:after="20"/>
              <w:rPr>
                <w:rFonts w:cs="Arial"/>
                <w:b/>
                <w:color w:val="000000" w:themeColor="text1"/>
                <w:sz w:val="20"/>
              </w:rPr>
            </w:pPr>
          </w:p>
        </w:tc>
        <w:tc>
          <w:tcPr>
            <w:tcW w:w="3408" w:type="dxa"/>
            <w:vAlign w:val="center"/>
          </w:tcPr>
          <w:p w:rsidR="00987CF2" w:rsidRPr="001C7A65" w:rsidRDefault="00987CF2" w:rsidP="009E6F47">
            <w:pPr>
              <w:spacing w:before="20" w:after="20"/>
              <w:jc w:val="center"/>
              <w:rPr>
                <w:rFonts w:cs="Arial"/>
                <w:color w:val="000000" w:themeColor="text1"/>
                <w:sz w:val="20"/>
              </w:rPr>
            </w:pPr>
          </w:p>
          <w:p w:rsidR="00987CF2" w:rsidRPr="001C7A65" w:rsidRDefault="00987CF2" w:rsidP="009E6F47">
            <w:pPr>
              <w:spacing w:before="20" w:after="20"/>
              <w:jc w:val="center"/>
              <w:rPr>
                <w:rFonts w:cs="Arial"/>
                <w:color w:val="000000" w:themeColor="text1"/>
                <w:sz w:val="20"/>
              </w:rPr>
            </w:pPr>
            <w:r w:rsidRPr="001C7A65">
              <w:rPr>
                <w:rFonts w:cs="Arial"/>
                <w:color w:val="000000" w:themeColor="text1"/>
                <w:sz w:val="20"/>
              </w:rPr>
              <w:t xml:space="preserve">                                                                  </w:t>
            </w:r>
          </w:p>
          <w:p w:rsidR="00987CF2" w:rsidRPr="001C7A65" w:rsidRDefault="00987CF2" w:rsidP="009E6F47">
            <w:pPr>
              <w:spacing w:before="20" w:after="20"/>
              <w:jc w:val="center"/>
              <w:rPr>
                <w:rFonts w:cs="Arial"/>
                <w:color w:val="000000" w:themeColor="text1"/>
                <w:sz w:val="20"/>
              </w:rPr>
            </w:pPr>
            <w:r w:rsidRPr="001C7A65">
              <w:rPr>
                <w:rFonts w:cs="Arial"/>
                <w:noProof/>
                <w:color w:val="000000" w:themeColor="text1"/>
                <w:sz w:val="20"/>
                <w:lang w:val="en-ZA" w:eastAsia="en-ZA"/>
              </w:rPr>
              <w:drawing>
                <wp:inline distT="0" distB="0" distL="0" distR="0" wp14:anchorId="64148E76" wp14:editId="03AA2C7F">
                  <wp:extent cx="295275" cy="28575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987CF2" w:rsidRPr="001C7A65" w:rsidRDefault="00987CF2" w:rsidP="009E6F47">
            <w:pPr>
              <w:spacing w:before="20" w:after="20"/>
              <w:jc w:val="center"/>
              <w:rPr>
                <w:rFonts w:cs="Arial"/>
                <w:color w:val="000000" w:themeColor="text1"/>
                <w:sz w:val="20"/>
              </w:rPr>
            </w:pPr>
            <w:r w:rsidRPr="001C7A65">
              <w:rPr>
                <w:rFonts w:cs="Arial"/>
                <w:noProof/>
                <w:color w:val="000000" w:themeColor="text1"/>
                <w:sz w:val="20"/>
                <w:lang w:val="en-ZA" w:eastAsia="en-ZA"/>
              </w:rPr>
              <w:drawing>
                <wp:inline distT="0" distB="0" distL="0" distR="0" wp14:anchorId="3279BFA2" wp14:editId="03B965E0">
                  <wp:extent cx="295275" cy="285750"/>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1C7A65">
              <w:rPr>
                <w:rFonts w:cs="Arial"/>
                <w:color w:val="000000" w:themeColor="text1"/>
                <w:sz w:val="20"/>
              </w:rPr>
              <w:t xml:space="preserve">                                                         </w:t>
            </w:r>
          </w:p>
          <w:p w:rsidR="00987CF2" w:rsidRPr="001C7A65" w:rsidRDefault="00987CF2" w:rsidP="009E6F47">
            <w:pPr>
              <w:spacing w:before="20" w:after="20"/>
              <w:jc w:val="center"/>
              <w:rPr>
                <w:rFonts w:cs="Arial"/>
                <w:noProof/>
                <w:color w:val="000000" w:themeColor="text1"/>
                <w:sz w:val="20"/>
                <w:lang w:val="en-US"/>
              </w:rPr>
            </w:pPr>
            <w:r w:rsidRPr="001C7A65">
              <w:rPr>
                <w:rFonts w:cs="Arial"/>
                <w:noProof/>
                <w:color w:val="000000" w:themeColor="text1"/>
                <w:sz w:val="20"/>
                <w:lang w:val="en-ZA" w:eastAsia="en-ZA"/>
              </w:rPr>
              <w:drawing>
                <wp:inline distT="0" distB="0" distL="0" distR="0" wp14:anchorId="7A85E271" wp14:editId="7D4CFF5C">
                  <wp:extent cx="295275" cy="285750"/>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1C7A65">
              <w:rPr>
                <w:rFonts w:cs="Arial"/>
                <w:color w:val="000000" w:themeColor="text1"/>
                <w:sz w:val="20"/>
              </w:rPr>
              <w:t xml:space="preserve">  </w:t>
            </w:r>
          </w:p>
          <w:p w:rsidR="00987CF2" w:rsidRPr="001C7A65" w:rsidRDefault="00987CF2" w:rsidP="009E6F47">
            <w:pPr>
              <w:spacing w:before="20" w:after="20"/>
              <w:jc w:val="center"/>
              <w:rPr>
                <w:rFonts w:cs="Arial"/>
                <w:noProof/>
                <w:color w:val="000000" w:themeColor="text1"/>
                <w:sz w:val="20"/>
                <w:lang w:val="en-US"/>
              </w:rPr>
            </w:pPr>
            <w:r w:rsidRPr="001C7A65">
              <w:rPr>
                <w:rFonts w:cs="Arial"/>
                <w:noProof/>
                <w:color w:val="000000" w:themeColor="text1"/>
                <w:sz w:val="20"/>
                <w:lang w:val="en-ZA" w:eastAsia="en-ZA"/>
              </w:rPr>
              <w:drawing>
                <wp:inline distT="0" distB="0" distL="0" distR="0" wp14:anchorId="0DED656F" wp14:editId="67591449">
                  <wp:extent cx="295275" cy="285750"/>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987CF2" w:rsidRPr="001C7A65" w:rsidRDefault="00987CF2" w:rsidP="009E6F47">
            <w:pPr>
              <w:spacing w:before="20" w:after="20"/>
              <w:jc w:val="center"/>
              <w:rPr>
                <w:rFonts w:cs="Arial"/>
                <w:color w:val="000000" w:themeColor="text1"/>
                <w:sz w:val="20"/>
              </w:rPr>
            </w:pPr>
            <w:r w:rsidRPr="001C7A65">
              <w:rPr>
                <w:rFonts w:cs="Arial"/>
                <w:color w:val="000000" w:themeColor="text1"/>
                <w:sz w:val="20"/>
              </w:rPr>
              <w:t xml:space="preserve">                     </w:t>
            </w:r>
            <w:r w:rsidRPr="001C7A65">
              <w:rPr>
                <w:rFonts w:cs="Arial"/>
                <w:b/>
                <w:color w:val="000000" w:themeColor="text1"/>
                <w:sz w:val="20"/>
              </w:rPr>
              <w:t xml:space="preserve"> </w:t>
            </w:r>
            <w:r w:rsidRPr="001C7A65">
              <w:rPr>
                <w:rFonts w:cs="Arial"/>
                <w:color w:val="000000" w:themeColor="text1"/>
                <w:sz w:val="20"/>
              </w:rPr>
              <w:t xml:space="preserve">                                                    </w:t>
            </w:r>
          </w:p>
        </w:tc>
        <w:tc>
          <w:tcPr>
            <w:tcW w:w="6817" w:type="dxa"/>
            <w:vAlign w:val="center"/>
          </w:tcPr>
          <w:p w:rsidR="00987CF2" w:rsidRPr="001C7A65" w:rsidRDefault="00987CF2" w:rsidP="009E6F47">
            <w:pPr>
              <w:rPr>
                <w:rFonts w:cs="Arial"/>
                <w:b/>
                <w:color w:val="000000" w:themeColor="text1"/>
                <w:sz w:val="20"/>
              </w:rPr>
            </w:pPr>
          </w:p>
          <w:p w:rsidR="00987CF2" w:rsidRPr="001C7A65" w:rsidRDefault="00987CF2" w:rsidP="009E6F47">
            <w:pPr>
              <w:rPr>
                <w:rFonts w:cs="Arial"/>
                <w:b/>
                <w:color w:val="000000" w:themeColor="text1"/>
                <w:sz w:val="20"/>
              </w:rPr>
            </w:pPr>
            <w:r w:rsidRPr="001C7A65">
              <w:rPr>
                <w:rFonts w:cs="Arial"/>
                <w:b/>
                <w:color w:val="000000" w:themeColor="text1"/>
                <w:sz w:val="20"/>
              </w:rPr>
              <w:t>On target</w:t>
            </w:r>
          </w:p>
          <w:p w:rsidR="00987CF2" w:rsidRPr="001C7A65" w:rsidRDefault="00987CF2" w:rsidP="009E6F47">
            <w:pPr>
              <w:rPr>
                <w:rFonts w:cs="Arial"/>
                <w:b/>
                <w:color w:val="000000" w:themeColor="text1"/>
                <w:sz w:val="20"/>
              </w:rPr>
            </w:pPr>
          </w:p>
          <w:p w:rsidR="00987CF2" w:rsidRPr="001C7A65" w:rsidRDefault="00987CF2" w:rsidP="009E6F47">
            <w:pPr>
              <w:rPr>
                <w:rFonts w:cs="Arial"/>
                <w:b/>
                <w:color w:val="000000" w:themeColor="text1"/>
                <w:sz w:val="20"/>
              </w:rPr>
            </w:pPr>
            <w:r w:rsidRPr="001C7A65">
              <w:rPr>
                <w:rFonts w:cs="Arial"/>
                <w:b/>
                <w:color w:val="000000" w:themeColor="text1"/>
                <w:sz w:val="20"/>
              </w:rPr>
              <w:t>Areas to watch</w:t>
            </w:r>
          </w:p>
          <w:p w:rsidR="00987CF2" w:rsidRPr="001C7A65" w:rsidRDefault="00987CF2" w:rsidP="009E6F47">
            <w:pPr>
              <w:rPr>
                <w:rFonts w:cs="Arial"/>
                <w:b/>
                <w:color w:val="000000" w:themeColor="text1"/>
                <w:sz w:val="20"/>
              </w:rPr>
            </w:pPr>
          </w:p>
          <w:p w:rsidR="00987CF2" w:rsidRPr="001C7A65" w:rsidRDefault="00987CF2" w:rsidP="009E6F47">
            <w:pPr>
              <w:rPr>
                <w:rFonts w:cs="Arial"/>
                <w:b/>
                <w:color w:val="000000" w:themeColor="text1"/>
                <w:sz w:val="20"/>
              </w:rPr>
            </w:pPr>
            <w:r w:rsidRPr="001C7A65">
              <w:rPr>
                <w:rFonts w:cs="Arial"/>
                <w:b/>
                <w:color w:val="000000" w:themeColor="text1"/>
                <w:sz w:val="20"/>
              </w:rPr>
              <w:t>Areas to address</w:t>
            </w:r>
          </w:p>
          <w:p w:rsidR="00987CF2" w:rsidRPr="001C7A65" w:rsidRDefault="00987CF2" w:rsidP="009E6F47">
            <w:pPr>
              <w:rPr>
                <w:rFonts w:cs="Arial"/>
                <w:b/>
                <w:color w:val="000000" w:themeColor="text1"/>
                <w:sz w:val="20"/>
              </w:rPr>
            </w:pPr>
          </w:p>
          <w:p w:rsidR="00987CF2" w:rsidRPr="001C7A65" w:rsidRDefault="00987CF2" w:rsidP="009E6F47">
            <w:pPr>
              <w:rPr>
                <w:rFonts w:cs="Arial"/>
                <w:b/>
                <w:color w:val="000000" w:themeColor="text1"/>
                <w:sz w:val="20"/>
              </w:rPr>
            </w:pPr>
            <w:r w:rsidRPr="001C7A65">
              <w:rPr>
                <w:rFonts w:cs="Arial"/>
                <w:b/>
                <w:color w:val="000000" w:themeColor="text1"/>
                <w:sz w:val="20"/>
              </w:rPr>
              <w:t>On Hold</w:t>
            </w:r>
          </w:p>
        </w:tc>
      </w:tr>
    </w:tbl>
    <w:p w:rsidR="00E0799A" w:rsidRPr="001C7A65" w:rsidRDefault="00E0799A">
      <w:pPr>
        <w:rPr>
          <w:color w:val="000000" w:themeColor="text1"/>
        </w:rPr>
      </w:pPr>
    </w:p>
    <w:p w:rsidR="005B4516" w:rsidRPr="001C7A65" w:rsidRDefault="005B4516">
      <w:pPr>
        <w:rPr>
          <w:color w:val="000000" w:themeColor="text1"/>
        </w:rPr>
      </w:pPr>
    </w:p>
    <w:p w:rsidR="005B4516" w:rsidRPr="001C7A65" w:rsidRDefault="005B4516">
      <w:pPr>
        <w:rPr>
          <w:color w:val="000000" w:themeColor="text1"/>
        </w:rPr>
      </w:pPr>
    </w:p>
    <w:sectPr w:rsidR="005B4516" w:rsidRPr="001C7A65" w:rsidSect="00701E5B">
      <w:footerReference w:type="default" r:id="rId12"/>
      <w:headerReference w:type="first" r:id="rId13"/>
      <w:pgSz w:w="11907" w:h="16840" w:code="9"/>
      <w:pgMar w:top="1588" w:right="851" w:bottom="1440" w:left="153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20" w:rsidRDefault="00BD3C20" w:rsidP="00D04A85">
      <w:r>
        <w:separator/>
      </w:r>
    </w:p>
  </w:endnote>
  <w:endnote w:type="continuationSeparator" w:id="0">
    <w:p w:rsidR="00BD3C20" w:rsidRDefault="00BD3C20" w:rsidP="00D0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798"/>
      <w:docPartObj>
        <w:docPartGallery w:val="Page Numbers (Bottom of Page)"/>
        <w:docPartUnique/>
      </w:docPartObj>
    </w:sdtPr>
    <w:sdtEndPr/>
    <w:sdtContent>
      <w:sdt>
        <w:sdtPr>
          <w:id w:val="565050523"/>
          <w:docPartObj>
            <w:docPartGallery w:val="Page Numbers (Top of Page)"/>
            <w:docPartUnique/>
          </w:docPartObj>
        </w:sdtPr>
        <w:sdtEndPr/>
        <w:sdtContent>
          <w:p w:rsidR="00680CC4" w:rsidRDefault="000A006D">
            <w:pPr>
              <w:pStyle w:val="Footer"/>
              <w:jc w:val="right"/>
            </w:pPr>
            <w:r>
              <w:t xml:space="preserve">Page </w:t>
            </w:r>
            <w:r w:rsidR="002065B8">
              <w:rPr>
                <w:b/>
                <w:sz w:val="24"/>
                <w:szCs w:val="24"/>
              </w:rPr>
              <w:fldChar w:fldCharType="begin"/>
            </w:r>
            <w:r>
              <w:rPr>
                <w:b/>
              </w:rPr>
              <w:instrText xml:space="preserve"> PAGE </w:instrText>
            </w:r>
            <w:r w:rsidR="002065B8">
              <w:rPr>
                <w:b/>
                <w:sz w:val="24"/>
                <w:szCs w:val="24"/>
              </w:rPr>
              <w:fldChar w:fldCharType="separate"/>
            </w:r>
            <w:r w:rsidR="006365A9">
              <w:rPr>
                <w:b/>
                <w:noProof/>
              </w:rPr>
              <w:t>2</w:t>
            </w:r>
            <w:r w:rsidR="002065B8">
              <w:rPr>
                <w:b/>
                <w:sz w:val="24"/>
                <w:szCs w:val="24"/>
              </w:rPr>
              <w:fldChar w:fldCharType="end"/>
            </w:r>
            <w:r>
              <w:t xml:space="preserve"> of </w:t>
            </w:r>
            <w:r w:rsidR="002065B8">
              <w:rPr>
                <w:b/>
                <w:sz w:val="24"/>
                <w:szCs w:val="24"/>
              </w:rPr>
              <w:fldChar w:fldCharType="begin"/>
            </w:r>
            <w:r>
              <w:rPr>
                <w:b/>
              </w:rPr>
              <w:instrText xml:space="preserve"> NUMPAGES  </w:instrText>
            </w:r>
            <w:r w:rsidR="002065B8">
              <w:rPr>
                <w:b/>
                <w:sz w:val="24"/>
                <w:szCs w:val="24"/>
              </w:rPr>
              <w:fldChar w:fldCharType="separate"/>
            </w:r>
            <w:r w:rsidR="006365A9">
              <w:rPr>
                <w:b/>
                <w:noProof/>
              </w:rPr>
              <w:t>4</w:t>
            </w:r>
            <w:r w:rsidR="002065B8">
              <w:rPr>
                <w:b/>
                <w:sz w:val="24"/>
                <w:szCs w:val="24"/>
              </w:rPr>
              <w:fldChar w:fldCharType="end"/>
            </w:r>
          </w:p>
        </w:sdtContent>
      </w:sdt>
    </w:sdtContent>
  </w:sdt>
  <w:p w:rsidR="00680CC4" w:rsidRPr="00701E5B" w:rsidRDefault="00BD3C20" w:rsidP="00701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20" w:rsidRDefault="00BD3C20" w:rsidP="00D04A85">
      <w:r>
        <w:separator/>
      </w:r>
    </w:p>
  </w:footnote>
  <w:footnote w:type="continuationSeparator" w:id="0">
    <w:p w:rsidR="00BD3C20" w:rsidRDefault="00BD3C20" w:rsidP="00D04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C4" w:rsidRPr="00B97141" w:rsidRDefault="000A006D">
    <w:pPr>
      <w:pStyle w:val="Header"/>
      <w:rPr>
        <w:lang w:val="en-US"/>
      </w:rPr>
    </w:pPr>
    <w:r>
      <w:rPr>
        <w:lang w:val="en-US"/>
      </w:rPr>
      <w:t>Insert Project Name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1899"/>
    <w:multiLevelType w:val="hybridMultilevel"/>
    <w:tmpl w:val="BCE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0326"/>
    <w:multiLevelType w:val="hybridMultilevel"/>
    <w:tmpl w:val="08A4F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6600C4"/>
    <w:multiLevelType w:val="hybridMultilevel"/>
    <w:tmpl w:val="3FE8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37D2C"/>
    <w:multiLevelType w:val="hybridMultilevel"/>
    <w:tmpl w:val="7446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43C18"/>
    <w:multiLevelType w:val="hybridMultilevel"/>
    <w:tmpl w:val="3F38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B52C7"/>
    <w:multiLevelType w:val="hybridMultilevel"/>
    <w:tmpl w:val="F514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64769"/>
    <w:multiLevelType w:val="hybridMultilevel"/>
    <w:tmpl w:val="E7A4F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D124E65"/>
    <w:multiLevelType w:val="hybridMultilevel"/>
    <w:tmpl w:val="6D1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B754F"/>
    <w:multiLevelType w:val="hybridMultilevel"/>
    <w:tmpl w:val="47E0EC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3428311F"/>
    <w:multiLevelType w:val="hybridMultilevel"/>
    <w:tmpl w:val="77F8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B036A"/>
    <w:multiLevelType w:val="hybridMultilevel"/>
    <w:tmpl w:val="6846A9F2"/>
    <w:lvl w:ilvl="0" w:tplc="EBB03D76">
      <w:start w:val="19"/>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B724170"/>
    <w:multiLevelType w:val="hybridMultilevel"/>
    <w:tmpl w:val="B614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4F18DF"/>
    <w:multiLevelType w:val="hybridMultilevel"/>
    <w:tmpl w:val="8BB0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F0CED"/>
    <w:multiLevelType w:val="hybridMultilevel"/>
    <w:tmpl w:val="0E288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1494239"/>
    <w:multiLevelType w:val="hybridMultilevel"/>
    <w:tmpl w:val="026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71E54"/>
    <w:multiLevelType w:val="hybridMultilevel"/>
    <w:tmpl w:val="E938C0E2"/>
    <w:lvl w:ilvl="0" w:tplc="0C268FA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7F4A84"/>
    <w:multiLevelType w:val="hybridMultilevel"/>
    <w:tmpl w:val="F10E2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8C45658"/>
    <w:multiLevelType w:val="hybridMultilevel"/>
    <w:tmpl w:val="33F838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05042DB"/>
    <w:multiLevelType w:val="hybridMultilevel"/>
    <w:tmpl w:val="2B527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12366C1"/>
    <w:multiLevelType w:val="hybridMultilevel"/>
    <w:tmpl w:val="8F6E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74545"/>
    <w:multiLevelType w:val="hybridMultilevel"/>
    <w:tmpl w:val="3C18B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B896E50"/>
    <w:multiLevelType w:val="hybridMultilevel"/>
    <w:tmpl w:val="5D006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D35787C"/>
    <w:multiLevelType w:val="hybridMultilevel"/>
    <w:tmpl w:val="08DAE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A227748"/>
    <w:multiLevelType w:val="hybridMultilevel"/>
    <w:tmpl w:val="00C8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65AC1"/>
    <w:multiLevelType w:val="hybridMultilevel"/>
    <w:tmpl w:val="C6A8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8D4DE2"/>
    <w:multiLevelType w:val="hybridMultilevel"/>
    <w:tmpl w:val="158A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075174E"/>
    <w:multiLevelType w:val="hybridMultilevel"/>
    <w:tmpl w:val="F7A0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956F0F"/>
    <w:multiLevelType w:val="hybridMultilevel"/>
    <w:tmpl w:val="A5CCF90C"/>
    <w:lvl w:ilvl="0" w:tplc="67E2B3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372664"/>
    <w:multiLevelType w:val="hybridMultilevel"/>
    <w:tmpl w:val="BCFC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45720"/>
    <w:multiLevelType w:val="hybridMultilevel"/>
    <w:tmpl w:val="E632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8B5E1C"/>
    <w:multiLevelType w:val="hybridMultilevel"/>
    <w:tmpl w:val="8BE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3"/>
  </w:num>
  <w:num w:numId="4">
    <w:abstractNumId w:val="24"/>
  </w:num>
  <w:num w:numId="5">
    <w:abstractNumId w:val="3"/>
  </w:num>
  <w:num w:numId="6">
    <w:abstractNumId w:val="24"/>
  </w:num>
  <w:num w:numId="7">
    <w:abstractNumId w:val="25"/>
  </w:num>
  <w:num w:numId="8">
    <w:abstractNumId w:val="20"/>
  </w:num>
  <w:num w:numId="9">
    <w:abstractNumId w:val="9"/>
  </w:num>
  <w:num w:numId="10">
    <w:abstractNumId w:val="14"/>
  </w:num>
  <w:num w:numId="11">
    <w:abstractNumId w:val="8"/>
  </w:num>
  <w:num w:numId="12">
    <w:abstractNumId w:val="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num>
  <w:num w:numId="16">
    <w:abstractNumId w:val="7"/>
  </w:num>
  <w:num w:numId="17">
    <w:abstractNumId w:val="2"/>
  </w:num>
  <w:num w:numId="18">
    <w:abstractNumId w:val="19"/>
  </w:num>
  <w:num w:numId="19">
    <w:abstractNumId w:val="12"/>
  </w:num>
  <w:num w:numId="20">
    <w:abstractNumId w:val="16"/>
  </w:num>
  <w:num w:numId="21">
    <w:abstractNumId w:val="22"/>
  </w:num>
  <w:num w:numId="22">
    <w:abstractNumId w:val="13"/>
  </w:num>
  <w:num w:numId="23">
    <w:abstractNumId w:val="27"/>
  </w:num>
  <w:num w:numId="24">
    <w:abstractNumId w:val="30"/>
  </w:num>
  <w:num w:numId="25">
    <w:abstractNumId w:val="4"/>
  </w:num>
  <w:num w:numId="26">
    <w:abstractNumId w:val="28"/>
  </w:num>
  <w:num w:numId="27">
    <w:abstractNumId w:val="29"/>
  </w:num>
  <w:num w:numId="28">
    <w:abstractNumId w:val="18"/>
  </w:num>
  <w:num w:numId="29">
    <w:abstractNumId w:val="11"/>
  </w:num>
  <w:num w:numId="30">
    <w:abstractNumId w:val="17"/>
  </w:num>
  <w:num w:numId="31">
    <w:abstractNumId w:val="10"/>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F2"/>
    <w:rsid w:val="00030491"/>
    <w:rsid w:val="00040892"/>
    <w:rsid w:val="00045559"/>
    <w:rsid w:val="00077B63"/>
    <w:rsid w:val="000A006D"/>
    <w:rsid w:val="000A0989"/>
    <w:rsid w:val="000C418A"/>
    <w:rsid w:val="000E265F"/>
    <w:rsid w:val="00153411"/>
    <w:rsid w:val="00162673"/>
    <w:rsid w:val="001A2893"/>
    <w:rsid w:val="001A36C3"/>
    <w:rsid w:val="001C7A65"/>
    <w:rsid w:val="002065B8"/>
    <w:rsid w:val="00225AB0"/>
    <w:rsid w:val="0023200E"/>
    <w:rsid w:val="00254777"/>
    <w:rsid w:val="00280D5D"/>
    <w:rsid w:val="002922E4"/>
    <w:rsid w:val="00315148"/>
    <w:rsid w:val="0031715C"/>
    <w:rsid w:val="0034520F"/>
    <w:rsid w:val="00354B9C"/>
    <w:rsid w:val="00384E94"/>
    <w:rsid w:val="003F0CE4"/>
    <w:rsid w:val="003F4A84"/>
    <w:rsid w:val="004179EB"/>
    <w:rsid w:val="00437683"/>
    <w:rsid w:val="0047461C"/>
    <w:rsid w:val="00490E32"/>
    <w:rsid w:val="004A3A7B"/>
    <w:rsid w:val="00537D52"/>
    <w:rsid w:val="005B4516"/>
    <w:rsid w:val="005D3312"/>
    <w:rsid w:val="005E025D"/>
    <w:rsid w:val="006033B6"/>
    <w:rsid w:val="00610E24"/>
    <w:rsid w:val="0062462D"/>
    <w:rsid w:val="00635D57"/>
    <w:rsid w:val="006365A9"/>
    <w:rsid w:val="006534C2"/>
    <w:rsid w:val="00662672"/>
    <w:rsid w:val="00694F10"/>
    <w:rsid w:val="006A2493"/>
    <w:rsid w:val="006B0533"/>
    <w:rsid w:val="006C1CFB"/>
    <w:rsid w:val="007335B6"/>
    <w:rsid w:val="007619DA"/>
    <w:rsid w:val="007659AC"/>
    <w:rsid w:val="00794DD2"/>
    <w:rsid w:val="007952FD"/>
    <w:rsid w:val="00796A9D"/>
    <w:rsid w:val="007A4379"/>
    <w:rsid w:val="007A6819"/>
    <w:rsid w:val="007C492C"/>
    <w:rsid w:val="007D2C21"/>
    <w:rsid w:val="007D3EFD"/>
    <w:rsid w:val="007D7656"/>
    <w:rsid w:val="007E02D5"/>
    <w:rsid w:val="007E2ECC"/>
    <w:rsid w:val="007E3124"/>
    <w:rsid w:val="007F7E41"/>
    <w:rsid w:val="0081449F"/>
    <w:rsid w:val="008177C2"/>
    <w:rsid w:val="0085493E"/>
    <w:rsid w:val="00865B44"/>
    <w:rsid w:val="00875F30"/>
    <w:rsid w:val="00876E57"/>
    <w:rsid w:val="00877E83"/>
    <w:rsid w:val="00886E5B"/>
    <w:rsid w:val="00896B8D"/>
    <w:rsid w:val="008C4B93"/>
    <w:rsid w:val="008E1372"/>
    <w:rsid w:val="00914F9F"/>
    <w:rsid w:val="00954872"/>
    <w:rsid w:val="00987CF2"/>
    <w:rsid w:val="009A3BFD"/>
    <w:rsid w:val="009C336F"/>
    <w:rsid w:val="009D5EAE"/>
    <w:rsid w:val="009D6D4E"/>
    <w:rsid w:val="009F04F7"/>
    <w:rsid w:val="00A176ED"/>
    <w:rsid w:val="00A23808"/>
    <w:rsid w:val="00A31B2A"/>
    <w:rsid w:val="00A31F01"/>
    <w:rsid w:val="00A716D2"/>
    <w:rsid w:val="00A7536B"/>
    <w:rsid w:val="00A91305"/>
    <w:rsid w:val="00A97313"/>
    <w:rsid w:val="00AB3CC9"/>
    <w:rsid w:val="00AD22A8"/>
    <w:rsid w:val="00B038D5"/>
    <w:rsid w:val="00B306B6"/>
    <w:rsid w:val="00BA5D2E"/>
    <w:rsid w:val="00BD3C20"/>
    <w:rsid w:val="00BE575D"/>
    <w:rsid w:val="00C54F9D"/>
    <w:rsid w:val="00CA1E02"/>
    <w:rsid w:val="00CC5141"/>
    <w:rsid w:val="00D04A85"/>
    <w:rsid w:val="00D06FEF"/>
    <w:rsid w:val="00D77DCB"/>
    <w:rsid w:val="00D8166F"/>
    <w:rsid w:val="00D87304"/>
    <w:rsid w:val="00D92AB7"/>
    <w:rsid w:val="00D972AE"/>
    <w:rsid w:val="00DA18ED"/>
    <w:rsid w:val="00DB3D83"/>
    <w:rsid w:val="00DE166F"/>
    <w:rsid w:val="00E00071"/>
    <w:rsid w:val="00E00394"/>
    <w:rsid w:val="00E0728C"/>
    <w:rsid w:val="00E0799A"/>
    <w:rsid w:val="00E80D58"/>
    <w:rsid w:val="00E8344C"/>
    <w:rsid w:val="00E91357"/>
    <w:rsid w:val="00EF1F2A"/>
    <w:rsid w:val="00F10F63"/>
    <w:rsid w:val="00F42D38"/>
    <w:rsid w:val="00F62F07"/>
    <w:rsid w:val="00F700AA"/>
    <w:rsid w:val="00F713CB"/>
    <w:rsid w:val="00F82139"/>
    <w:rsid w:val="00FB03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E2A55-8E2C-4D7C-8302-AF9CEB83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F2"/>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styleId="Heading1">
    <w:name w:val="heading 1"/>
    <w:basedOn w:val="Normal"/>
    <w:next w:val="Normal"/>
    <w:link w:val="Heading1Char"/>
    <w:qFormat/>
    <w:rsid w:val="00987CF2"/>
    <w:pPr>
      <w:keepNext/>
      <w:pageBreakBefore/>
      <w:pBdr>
        <w:top w:val="single" w:sz="6" w:space="1" w:color="auto"/>
      </w:pBdr>
      <w:spacing w:after="360"/>
      <w:outlineLvl w:val="0"/>
    </w:pPr>
    <w:rPr>
      <w:b/>
      <w:kern w:val="28"/>
      <w:sz w:val="32"/>
    </w:rPr>
  </w:style>
  <w:style w:type="paragraph" w:styleId="Heading2">
    <w:name w:val="heading 2"/>
    <w:basedOn w:val="Normal"/>
    <w:next w:val="Normal"/>
    <w:link w:val="Heading2Char"/>
    <w:qFormat/>
    <w:rsid w:val="00987CF2"/>
    <w:pPr>
      <w:keepNext/>
      <w:pBdr>
        <w:top w:val="single" w:sz="6" w:space="2" w:color="auto"/>
      </w:pBdr>
      <w:spacing w:before="360" w:after="14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CF2"/>
    <w:rPr>
      <w:rFonts w:ascii="Arial" w:eastAsia="Times New Roman" w:hAnsi="Arial" w:cs="Times New Roman"/>
      <w:b/>
      <w:kern w:val="28"/>
      <w:sz w:val="32"/>
      <w:szCs w:val="20"/>
      <w:lang w:val="en-GB"/>
    </w:rPr>
  </w:style>
  <w:style w:type="character" w:customStyle="1" w:styleId="Heading2Char">
    <w:name w:val="Heading 2 Char"/>
    <w:basedOn w:val="DefaultParagraphFont"/>
    <w:link w:val="Heading2"/>
    <w:rsid w:val="00987CF2"/>
    <w:rPr>
      <w:rFonts w:ascii="Arial" w:eastAsia="Times New Roman" w:hAnsi="Arial" w:cs="Times New Roman"/>
      <w:b/>
      <w:sz w:val="28"/>
      <w:szCs w:val="20"/>
      <w:lang w:val="en-GB"/>
    </w:rPr>
  </w:style>
  <w:style w:type="paragraph" w:styleId="Footer">
    <w:name w:val="footer"/>
    <w:basedOn w:val="Normal"/>
    <w:link w:val="FooterChar"/>
    <w:uiPriority w:val="99"/>
    <w:rsid w:val="00987CF2"/>
    <w:pPr>
      <w:tabs>
        <w:tab w:val="center" w:pos="4153"/>
        <w:tab w:val="right" w:pos="8306"/>
      </w:tabs>
    </w:pPr>
    <w:rPr>
      <w:sz w:val="16"/>
    </w:rPr>
  </w:style>
  <w:style w:type="character" w:customStyle="1" w:styleId="FooterChar">
    <w:name w:val="Footer Char"/>
    <w:basedOn w:val="DefaultParagraphFont"/>
    <w:link w:val="Footer"/>
    <w:uiPriority w:val="99"/>
    <w:rsid w:val="00987CF2"/>
    <w:rPr>
      <w:rFonts w:ascii="Arial" w:eastAsia="Times New Roman" w:hAnsi="Arial" w:cs="Times New Roman"/>
      <w:sz w:val="16"/>
      <w:szCs w:val="20"/>
      <w:lang w:val="en-GB"/>
    </w:rPr>
  </w:style>
  <w:style w:type="paragraph" w:styleId="Header">
    <w:name w:val="header"/>
    <w:basedOn w:val="Normal"/>
    <w:link w:val="HeaderChar"/>
    <w:semiHidden/>
    <w:rsid w:val="00987CF2"/>
    <w:pPr>
      <w:tabs>
        <w:tab w:val="center" w:pos="4153"/>
        <w:tab w:val="right" w:pos="8306"/>
      </w:tabs>
    </w:pPr>
  </w:style>
  <w:style w:type="character" w:customStyle="1" w:styleId="HeaderChar">
    <w:name w:val="Header Char"/>
    <w:basedOn w:val="DefaultParagraphFont"/>
    <w:link w:val="Header"/>
    <w:semiHidden/>
    <w:rsid w:val="00987CF2"/>
    <w:rPr>
      <w:rFonts w:ascii="Arial" w:eastAsia="Times New Roman" w:hAnsi="Arial" w:cs="Times New Roman"/>
      <w:sz w:val="24"/>
      <w:szCs w:val="20"/>
      <w:lang w:val="en-GB"/>
    </w:rPr>
  </w:style>
  <w:style w:type="paragraph" w:styleId="BodyText2">
    <w:name w:val="Body Text 2"/>
    <w:basedOn w:val="Normal"/>
    <w:link w:val="BodyText2Char"/>
    <w:rsid w:val="00987CF2"/>
    <w:pPr>
      <w:jc w:val="both"/>
    </w:pPr>
    <w:rPr>
      <w:color w:val="FF0000"/>
    </w:rPr>
  </w:style>
  <w:style w:type="character" w:customStyle="1" w:styleId="BodyText2Char">
    <w:name w:val="Body Text 2 Char"/>
    <w:basedOn w:val="DefaultParagraphFont"/>
    <w:link w:val="BodyText2"/>
    <w:rsid w:val="00987CF2"/>
    <w:rPr>
      <w:rFonts w:ascii="Arial" w:eastAsia="Times New Roman" w:hAnsi="Arial" w:cs="Times New Roman"/>
      <w:color w:val="FF0000"/>
      <w:sz w:val="24"/>
      <w:szCs w:val="20"/>
      <w:lang w:val="en-GB"/>
    </w:rPr>
  </w:style>
  <w:style w:type="paragraph" w:styleId="ListParagraph">
    <w:name w:val="List Paragraph"/>
    <w:basedOn w:val="Normal"/>
    <w:uiPriority w:val="34"/>
    <w:qFormat/>
    <w:rsid w:val="00987CF2"/>
    <w:pPr>
      <w:ind w:left="720"/>
      <w:contextualSpacing/>
    </w:pPr>
  </w:style>
  <w:style w:type="paragraph" w:styleId="PlainText">
    <w:name w:val="Plain Text"/>
    <w:basedOn w:val="Normal"/>
    <w:link w:val="PlainTextChar"/>
    <w:uiPriority w:val="99"/>
    <w:unhideWhenUsed/>
    <w:rsid w:val="00987CF2"/>
    <w:pPr>
      <w:overflowPunct/>
      <w:autoSpaceDE/>
      <w:autoSpaceDN/>
      <w:adjustRightInd/>
      <w:textAlignment w:val="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87CF2"/>
    <w:rPr>
      <w:rFonts w:ascii="Consolas" w:hAnsi="Consolas"/>
      <w:sz w:val="21"/>
      <w:szCs w:val="21"/>
    </w:rPr>
  </w:style>
  <w:style w:type="paragraph" w:styleId="BalloonText">
    <w:name w:val="Balloon Text"/>
    <w:basedOn w:val="Normal"/>
    <w:link w:val="BalloonTextChar"/>
    <w:uiPriority w:val="99"/>
    <w:semiHidden/>
    <w:unhideWhenUsed/>
    <w:rsid w:val="00987CF2"/>
    <w:rPr>
      <w:rFonts w:ascii="Tahoma" w:hAnsi="Tahoma" w:cs="Tahoma"/>
      <w:sz w:val="16"/>
      <w:szCs w:val="16"/>
    </w:rPr>
  </w:style>
  <w:style w:type="character" w:customStyle="1" w:styleId="BalloonTextChar">
    <w:name w:val="Balloon Text Char"/>
    <w:basedOn w:val="DefaultParagraphFont"/>
    <w:link w:val="BalloonText"/>
    <w:uiPriority w:val="99"/>
    <w:semiHidden/>
    <w:rsid w:val="00987CF2"/>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E00394"/>
    <w:rPr>
      <w:sz w:val="16"/>
      <w:szCs w:val="16"/>
    </w:rPr>
  </w:style>
  <w:style w:type="paragraph" w:styleId="CommentText">
    <w:name w:val="annotation text"/>
    <w:basedOn w:val="Normal"/>
    <w:link w:val="CommentTextChar"/>
    <w:uiPriority w:val="99"/>
    <w:semiHidden/>
    <w:unhideWhenUsed/>
    <w:rsid w:val="00E00394"/>
    <w:rPr>
      <w:sz w:val="20"/>
    </w:rPr>
  </w:style>
  <w:style w:type="character" w:customStyle="1" w:styleId="CommentTextChar">
    <w:name w:val="Comment Text Char"/>
    <w:basedOn w:val="DefaultParagraphFont"/>
    <w:link w:val="CommentText"/>
    <w:uiPriority w:val="99"/>
    <w:semiHidden/>
    <w:rsid w:val="00E0039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00394"/>
    <w:rPr>
      <w:b/>
      <w:bCs/>
    </w:rPr>
  </w:style>
  <w:style w:type="character" w:customStyle="1" w:styleId="CommentSubjectChar">
    <w:name w:val="Comment Subject Char"/>
    <w:basedOn w:val="CommentTextChar"/>
    <w:link w:val="CommentSubject"/>
    <w:uiPriority w:val="99"/>
    <w:semiHidden/>
    <w:rsid w:val="00E00394"/>
    <w:rPr>
      <w:rFonts w:ascii="Arial" w:eastAsia="Times New Roman" w:hAnsi="Arial" w:cs="Times New Roman"/>
      <w:b/>
      <w:bCs/>
      <w:sz w:val="20"/>
      <w:szCs w:val="20"/>
      <w:lang w:val="en-GB"/>
    </w:rPr>
  </w:style>
  <w:style w:type="paragraph" w:styleId="NoSpacing">
    <w:name w:val="No Spacing"/>
    <w:uiPriority w:val="1"/>
    <w:qFormat/>
    <w:rsid w:val="001C7A65"/>
    <w:pPr>
      <w:spacing w:after="0" w:line="240" w:lineRule="auto"/>
    </w:pPr>
  </w:style>
  <w:style w:type="table" w:styleId="TableGrid">
    <w:name w:val="Table Grid"/>
    <w:basedOn w:val="TableNormal"/>
    <w:uiPriority w:val="59"/>
    <w:rsid w:val="006A24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3">
    <w:name w:val="CM3"/>
    <w:basedOn w:val="Normal"/>
    <w:next w:val="Normal"/>
    <w:uiPriority w:val="99"/>
    <w:rsid w:val="00A716D2"/>
    <w:pPr>
      <w:widowControl w:val="0"/>
      <w:overflowPunct/>
      <w:spacing w:line="320" w:lineRule="atLeast"/>
      <w:textAlignment w:val="auto"/>
    </w:pPr>
    <w:rPr>
      <w:rFonts w:eastAsiaTheme="minorEastAsia"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952">
      <w:bodyDiv w:val="1"/>
      <w:marLeft w:val="0"/>
      <w:marRight w:val="0"/>
      <w:marTop w:val="0"/>
      <w:marBottom w:val="0"/>
      <w:divBdr>
        <w:top w:val="none" w:sz="0" w:space="0" w:color="auto"/>
        <w:left w:val="none" w:sz="0" w:space="0" w:color="auto"/>
        <w:bottom w:val="none" w:sz="0" w:space="0" w:color="auto"/>
        <w:right w:val="none" w:sz="0" w:space="0" w:color="auto"/>
      </w:divBdr>
    </w:div>
    <w:div w:id="341590941">
      <w:bodyDiv w:val="1"/>
      <w:marLeft w:val="0"/>
      <w:marRight w:val="0"/>
      <w:marTop w:val="0"/>
      <w:marBottom w:val="0"/>
      <w:divBdr>
        <w:top w:val="none" w:sz="0" w:space="0" w:color="auto"/>
        <w:left w:val="none" w:sz="0" w:space="0" w:color="auto"/>
        <w:bottom w:val="none" w:sz="0" w:space="0" w:color="auto"/>
        <w:right w:val="none" w:sz="0" w:space="0" w:color="auto"/>
      </w:divBdr>
    </w:div>
    <w:div w:id="443161413">
      <w:bodyDiv w:val="1"/>
      <w:marLeft w:val="0"/>
      <w:marRight w:val="0"/>
      <w:marTop w:val="0"/>
      <w:marBottom w:val="0"/>
      <w:divBdr>
        <w:top w:val="none" w:sz="0" w:space="0" w:color="auto"/>
        <w:left w:val="none" w:sz="0" w:space="0" w:color="auto"/>
        <w:bottom w:val="none" w:sz="0" w:space="0" w:color="auto"/>
        <w:right w:val="none" w:sz="0" w:space="0" w:color="auto"/>
      </w:divBdr>
    </w:div>
    <w:div w:id="447968415">
      <w:bodyDiv w:val="1"/>
      <w:marLeft w:val="0"/>
      <w:marRight w:val="0"/>
      <w:marTop w:val="0"/>
      <w:marBottom w:val="0"/>
      <w:divBdr>
        <w:top w:val="none" w:sz="0" w:space="0" w:color="auto"/>
        <w:left w:val="none" w:sz="0" w:space="0" w:color="auto"/>
        <w:bottom w:val="none" w:sz="0" w:space="0" w:color="auto"/>
        <w:right w:val="none" w:sz="0" w:space="0" w:color="auto"/>
      </w:divBdr>
    </w:div>
    <w:div w:id="536242318">
      <w:bodyDiv w:val="1"/>
      <w:marLeft w:val="0"/>
      <w:marRight w:val="0"/>
      <w:marTop w:val="0"/>
      <w:marBottom w:val="0"/>
      <w:divBdr>
        <w:top w:val="none" w:sz="0" w:space="0" w:color="auto"/>
        <w:left w:val="none" w:sz="0" w:space="0" w:color="auto"/>
        <w:bottom w:val="none" w:sz="0" w:space="0" w:color="auto"/>
        <w:right w:val="none" w:sz="0" w:space="0" w:color="auto"/>
      </w:divBdr>
    </w:div>
    <w:div w:id="576012151">
      <w:bodyDiv w:val="1"/>
      <w:marLeft w:val="0"/>
      <w:marRight w:val="0"/>
      <w:marTop w:val="0"/>
      <w:marBottom w:val="0"/>
      <w:divBdr>
        <w:top w:val="none" w:sz="0" w:space="0" w:color="auto"/>
        <w:left w:val="none" w:sz="0" w:space="0" w:color="auto"/>
        <w:bottom w:val="none" w:sz="0" w:space="0" w:color="auto"/>
        <w:right w:val="none" w:sz="0" w:space="0" w:color="auto"/>
      </w:divBdr>
    </w:div>
    <w:div w:id="718433180">
      <w:bodyDiv w:val="1"/>
      <w:marLeft w:val="0"/>
      <w:marRight w:val="0"/>
      <w:marTop w:val="0"/>
      <w:marBottom w:val="0"/>
      <w:divBdr>
        <w:top w:val="none" w:sz="0" w:space="0" w:color="auto"/>
        <w:left w:val="none" w:sz="0" w:space="0" w:color="auto"/>
        <w:bottom w:val="none" w:sz="0" w:space="0" w:color="auto"/>
        <w:right w:val="none" w:sz="0" w:space="0" w:color="auto"/>
      </w:divBdr>
    </w:div>
    <w:div w:id="755975662">
      <w:bodyDiv w:val="1"/>
      <w:marLeft w:val="0"/>
      <w:marRight w:val="0"/>
      <w:marTop w:val="0"/>
      <w:marBottom w:val="0"/>
      <w:divBdr>
        <w:top w:val="none" w:sz="0" w:space="0" w:color="auto"/>
        <w:left w:val="none" w:sz="0" w:space="0" w:color="auto"/>
        <w:bottom w:val="none" w:sz="0" w:space="0" w:color="auto"/>
        <w:right w:val="none" w:sz="0" w:space="0" w:color="auto"/>
      </w:divBdr>
    </w:div>
    <w:div w:id="918178310">
      <w:bodyDiv w:val="1"/>
      <w:marLeft w:val="0"/>
      <w:marRight w:val="0"/>
      <w:marTop w:val="0"/>
      <w:marBottom w:val="0"/>
      <w:divBdr>
        <w:top w:val="none" w:sz="0" w:space="0" w:color="auto"/>
        <w:left w:val="none" w:sz="0" w:space="0" w:color="auto"/>
        <w:bottom w:val="none" w:sz="0" w:space="0" w:color="auto"/>
        <w:right w:val="none" w:sz="0" w:space="0" w:color="auto"/>
      </w:divBdr>
    </w:div>
    <w:div w:id="1038355374">
      <w:bodyDiv w:val="1"/>
      <w:marLeft w:val="0"/>
      <w:marRight w:val="0"/>
      <w:marTop w:val="0"/>
      <w:marBottom w:val="0"/>
      <w:divBdr>
        <w:top w:val="none" w:sz="0" w:space="0" w:color="auto"/>
        <w:left w:val="none" w:sz="0" w:space="0" w:color="auto"/>
        <w:bottom w:val="none" w:sz="0" w:space="0" w:color="auto"/>
        <w:right w:val="none" w:sz="0" w:space="0" w:color="auto"/>
      </w:divBdr>
    </w:div>
    <w:div w:id="1212381316">
      <w:bodyDiv w:val="1"/>
      <w:marLeft w:val="0"/>
      <w:marRight w:val="0"/>
      <w:marTop w:val="0"/>
      <w:marBottom w:val="0"/>
      <w:divBdr>
        <w:top w:val="none" w:sz="0" w:space="0" w:color="auto"/>
        <w:left w:val="none" w:sz="0" w:space="0" w:color="auto"/>
        <w:bottom w:val="none" w:sz="0" w:space="0" w:color="auto"/>
        <w:right w:val="none" w:sz="0" w:space="0" w:color="auto"/>
      </w:divBdr>
    </w:div>
    <w:div w:id="1421561089">
      <w:bodyDiv w:val="1"/>
      <w:marLeft w:val="0"/>
      <w:marRight w:val="0"/>
      <w:marTop w:val="0"/>
      <w:marBottom w:val="0"/>
      <w:divBdr>
        <w:top w:val="none" w:sz="0" w:space="0" w:color="auto"/>
        <w:left w:val="none" w:sz="0" w:space="0" w:color="auto"/>
        <w:bottom w:val="none" w:sz="0" w:space="0" w:color="auto"/>
        <w:right w:val="none" w:sz="0" w:space="0" w:color="auto"/>
      </w:divBdr>
    </w:div>
    <w:div w:id="1499887850">
      <w:bodyDiv w:val="1"/>
      <w:marLeft w:val="0"/>
      <w:marRight w:val="0"/>
      <w:marTop w:val="0"/>
      <w:marBottom w:val="0"/>
      <w:divBdr>
        <w:top w:val="none" w:sz="0" w:space="0" w:color="auto"/>
        <w:left w:val="none" w:sz="0" w:space="0" w:color="auto"/>
        <w:bottom w:val="none" w:sz="0" w:space="0" w:color="auto"/>
        <w:right w:val="none" w:sz="0" w:space="0" w:color="auto"/>
      </w:divBdr>
    </w:div>
    <w:div w:id="1566725431">
      <w:bodyDiv w:val="1"/>
      <w:marLeft w:val="0"/>
      <w:marRight w:val="0"/>
      <w:marTop w:val="0"/>
      <w:marBottom w:val="0"/>
      <w:divBdr>
        <w:top w:val="none" w:sz="0" w:space="0" w:color="auto"/>
        <w:left w:val="none" w:sz="0" w:space="0" w:color="auto"/>
        <w:bottom w:val="none" w:sz="0" w:space="0" w:color="auto"/>
        <w:right w:val="none" w:sz="0" w:space="0" w:color="auto"/>
      </w:divBdr>
    </w:div>
    <w:div w:id="1693460384">
      <w:bodyDiv w:val="1"/>
      <w:marLeft w:val="0"/>
      <w:marRight w:val="0"/>
      <w:marTop w:val="0"/>
      <w:marBottom w:val="0"/>
      <w:divBdr>
        <w:top w:val="none" w:sz="0" w:space="0" w:color="auto"/>
        <w:left w:val="none" w:sz="0" w:space="0" w:color="auto"/>
        <w:bottom w:val="none" w:sz="0" w:space="0" w:color="auto"/>
        <w:right w:val="none" w:sz="0" w:space="0" w:color="auto"/>
      </w:divBdr>
    </w:div>
    <w:div w:id="1805854859">
      <w:bodyDiv w:val="1"/>
      <w:marLeft w:val="0"/>
      <w:marRight w:val="0"/>
      <w:marTop w:val="0"/>
      <w:marBottom w:val="0"/>
      <w:divBdr>
        <w:top w:val="none" w:sz="0" w:space="0" w:color="auto"/>
        <w:left w:val="none" w:sz="0" w:space="0" w:color="auto"/>
        <w:bottom w:val="none" w:sz="0" w:space="0" w:color="auto"/>
        <w:right w:val="none" w:sz="0" w:space="0" w:color="auto"/>
      </w:divBdr>
    </w:div>
    <w:div w:id="1859344812">
      <w:bodyDiv w:val="1"/>
      <w:marLeft w:val="0"/>
      <w:marRight w:val="0"/>
      <w:marTop w:val="0"/>
      <w:marBottom w:val="0"/>
      <w:divBdr>
        <w:top w:val="none" w:sz="0" w:space="0" w:color="auto"/>
        <w:left w:val="none" w:sz="0" w:space="0" w:color="auto"/>
        <w:bottom w:val="none" w:sz="0" w:space="0" w:color="auto"/>
        <w:right w:val="none" w:sz="0" w:space="0" w:color="auto"/>
      </w:divBdr>
    </w:div>
    <w:div w:id="19117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1502</Value>
      <Value>1107</Value>
      <Value>1</Value>
    </TaxCatchAll>
    <c4e2ab2cc9354bbf9064eeb465a566ea xmlns="1ed4137b-41b2-488b-8250-6d369ec27664">
      <Terms xmlns="http://schemas.microsoft.com/office/infopath/2007/PartnerControls"/>
    </c4e2ab2cc9354bbf9064eeb465a566ea>
    <UndpProjectNo xmlns="1ed4137b-41b2-488b-8250-6d369ec27664">00056593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ATLASPDC-4-29420</_dlc_DocId>
    <_dlc_DocIdUrl xmlns="f1161f5b-24a3-4c2d-bc81-44cb9325e8ee">
      <Url>https://info.undp.org/docs/pdc/_layouts/DocIdRedir.aspx?ID=ATLASPDC-4-29420</Url>
      <Description>ATLASPDC-4-29420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025690B-04A3-47B2-ADC0-B920A0001A67}"/>
</file>

<file path=customXml/itemProps2.xml><?xml version="1.0" encoding="utf-8"?>
<ds:datastoreItem xmlns:ds="http://schemas.openxmlformats.org/officeDocument/2006/customXml" ds:itemID="{D92B6255-65BE-4083-A4AB-8AB023882877}"/>
</file>

<file path=customXml/itemProps3.xml><?xml version="1.0" encoding="utf-8"?>
<ds:datastoreItem xmlns:ds="http://schemas.openxmlformats.org/officeDocument/2006/customXml" ds:itemID="{81B4B369-9B19-4DE5-9688-71EDDBBCF9F7}"/>
</file>

<file path=customXml/itemProps4.xml><?xml version="1.0" encoding="utf-8"?>
<ds:datastoreItem xmlns:ds="http://schemas.openxmlformats.org/officeDocument/2006/customXml" ds:itemID="{0B3B50CB-CECF-4BA8-B714-D941E37331F9}"/>
</file>

<file path=customXml/itemProps5.xml><?xml version="1.0" encoding="utf-8"?>
<ds:datastoreItem xmlns:ds="http://schemas.openxmlformats.org/officeDocument/2006/customXml" ds:itemID="{BE3CFED3-2AD2-4A31-90BB-74DD22AAEBDD}"/>
</file>

<file path=customXml/itemProps6.xml><?xml version="1.0" encoding="utf-8"?>
<ds:datastoreItem xmlns:ds="http://schemas.openxmlformats.org/officeDocument/2006/customXml" ds:itemID="{81D54CB0-64D2-4B53-B5A6-7A3E65E6C563}"/>
</file>

<file path=docProps/app.xml><?xml version="1.0" encoding="utf-8"?>
<Properties xmlns="http://schemas.openxmlformats.org/officeDocument/2006/extended-properties" xmlns:vt="http://schemas.openxmlformats.org/officeDocument/2006/docPropsVTypes">
  <Template>Normal</Template>
  <TotalTime>16</TotalTime>
  <Pages>1</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thabang.tlalajoe</dc:creator>
  <cp:lastModifiedBy>Thabang Tlalajoe</cp:lastModifiedBy>
  <cp:revision>3</cp:revision>
  <dcterms:created xsi:type="dcterms:W3CDTF">2014-07-08T09:52:00Z</dcterms:created>
  <dcterms:modified xsi:type="dcterms:W3CDTF">2014-07-28T13:35:00Z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1502;#LSO|75276b2a-9ecc-4df8-8b39-58fdb75bde3e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0d11b524-2970-46c3-acb4-e0cc2028bf23</vt:lpwstr>
  </property>
  <property fmtid="{D5CDD505-2E9C-101B-9397-08002B2CF9AE}" pid="18" name="URL">
    <vt:lpwstr/>
  </property>
  <property fmtid="{D5CDD505-2E9C-101B-9397-08002B2CF9AE}" pid="19" name="DocumentSetDescription">
    <vt:lpwstr/>
  </property>
</Properties>
</file>